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51B8" w14:textId="420B280F" w:rsidR="004A7C82" w:rsidRDefault="004A7C82" w:rsidP="004A7C82">
      <w:pPr>
        <w:spacing w:line="276" w:lineRule="auto"/>
        <w:rPr>
          <w:b/>
        </w:rPr>
      </w:pPr>
      <w:bookmarkStart w:id="0" w:name="_Toc121331463"/>
      <w:bookmarkStart w:id="1" w:name="_Hlk143692141"/>
      <w:r>
        <w:rPr>
          <w:b/>
        </w:rPr>
        <w:t xml:space="preserve">HOW TO USE THIS </w:t>
      </w:r>
      <w:r w:rsidR="0047598A">
        <w:rPr>
          <w:b/>
        </w:rPr>
        <w:t xml:space="preserve">COVER SHEET </w:t>
      </w:r>
      <w:r>
        <w:rPr>
          <w:b/>
        </w:rPr>
        <w:t>(DELETE THIS PAGE PRIOR TO SUBMISSION):</w:t>
      </w:r>
    </w:p>
    <w:p w14:paraId="2053D682" w14:textId="23FCA1A1" w:rsidR="009F67AE" w:rsidRDefault="0047598A" w:rsidP="0047598A">
      <w:pPr>
        <w:spacing w:line="22" w:lineRule="atLeast"/>
      </w:pPr>
      <w:r>
        <w:t xml:space="preserve">Under certain </w:t>
      </w:r>
      <w:r w:rsidR="002C558F">
        <w:t>circumstances</w:t>
      </w:r>
      <w:r>
        <w:t xml:space="preserve">, ACCJC may require an institution it accredits or those with </w:t>
      </w:r>
      <w:r w:rsidR="0009387B">
        <w:t>c</w:t>
      </w:r>
      <w:r>
        <w:t>andidacy status (preaccreditation) to enter into a teach-out agreement in accordance with Commission policy and federal regulations.</w:t>
      </w:r>
      <w:r w:rsidR="002C558F">
        <w:rPr>
          <w:rStyle w:val="FootnoteReference"/>
        </w:rPr>
        <w:footnoteReference w:id="1"/>
      </w:r>
      <w:r>
        <w:t xml:space="preserve"> </w:t>
      </w:r>
      <w:r w:rsidR="009F67AE">
        <w:t>These circumstances include the closure of an institution and the closure of an institutional location that provides 100 percent of at least one credit-bearing degree or certificate program.</w:t>
      </w:r>
    </w:p>
    <w:p w14:paraId="2D46E985" w14:textId="77777777" w:rsidR="009F67AE" w:rsidRDefault="009F67AE" w:rsidP="0047598A">
      <w:pPr>
        <w:spacing w:line="22" w:lineRule="atLeast"/>
      </w:pPr>
    </w:p>
    <w:p w14:paraId="3F72B72D" w14:textId="4B58EB47" w:rsidR="002C558F" w:rsidRDefault="002C558F" w:rsidP="0047598A">
      <w:pPr>
        <w:spacing w:line="22" w:lineRule="atLeast"/>
      </w:pPr>
      <w:r>
        <w:t xml:space="preserve">Institutions must </w:t>
      </w:r>
      <w:r w:rsidR="0047598A">
        <w:t>submit teach-out agreement</w:t>
      </w:r>
      <w:r>
        <w:t>(s)</w:t>
      </w:r>
      <w:r w:rsidR="0047598A">
        <w:t xml:space="preserve"> </w:t>
      </w:r>
      <w:r>
        <w:t xml:space="preserve">to the Commission for review and approval prior to </w:t>
      </w:r>
      <w:r w:rsidR="0047598A">
        <w:t>implementation</w:t>
      </w:r>
      <w:r>
        <w:t xml:space="preserve">. </w:t>
      </w:r>
      <w:r w:rsidR="004A7C82">
        <w:t xml:space="preserve">This </w:t>
      </w:r>
      <w:r w:rsidR="0047598A">
        <w:t xml:space="preserve">cover sheet </w:t>
      </w:r>
      <w:r w:rsidR="004A7C82">
        <w:t xml:space="preserve">is designed </w:t>
      </w:r>
      <w:r>
        <w:t xml:space="preserve">to support </w:t>
      </w:r>
      <w:proofErr w:type="gramStart"/>
      <w:r>
        <w:t>that</w:t>
      </w:r>
      <w:proofErr w:type="gramEnd"/>
      <w:r>
        <w:t xml:space="preserve"> submission process. </w:t>
      </w:r>
    </w:p>
    <w:p w14:paraId="2EB720C0" w14:textId="63CC1D7D" w:rsidR="0047598A" w:rsidRDefault="0047598A" w:rsidP="00993CFE">
      <w:pPr>
        <w:spacing w:line="22" w:lineRule="atLeast"/>
      </w:pPr>
    </w:p>
    <w:p w14:paraId="76D30525" w14:textId="2B197BDF" w:rsidR="004A7C82" w:rsidRDefault="002C558F" w:rsidP="002C558F">
      <w:pPr>
        <w:spacing w:after="120" w:line="22" w:lineRule="atLeast"/>
      </w:pPr>
      <w:r>
        <w:t xml:space="preserve">Text in </w:t>
      </w:r>
      <w:r>
        <w:rPr>
          <w:b/>
          <w:shd w:val="clear" w:color="auto" w:fill="BFBFBF" w:themeFill="background1" w:themeFillShade="BF"/>
        </w:rPr>
        <w:t>g</w:t>
      </w:r>
      <w:r w:rsidR="004A7C82" w:rsidRPr="00994B49">
        <w:rPr>
          <w:b/>
          <w:shd w:val="clear" w:color="auto" w:fill="BFBFBF" w:themeFill="background1" w:themeFillShade="BF"/>
        </w:rPr>
        <w:t>ray highlighting</w:t>
      </w:r>
      <w:r w:rsidR="004A7C82" w:rsidRPr="00994B49">
        <w:rPr>
          <w:b/>
        </w:rPr>
        <w:t xml:space="preserve"> </w:t>
      </w:r>
      <w:r w:rsidR="004A7C82" w:rsidRPr="003F53A7">
        <w:t>indicates</w:t>
      </w:r>
      <w:r w:rsidR="004A7C82">
        <w:t xml:space="preserve"> </w:t>
      </w:r>
      <w:r>
        <w:t xml:space="preserve">places where you may wish to customize the cover sheet to fit the specific circumstances of your institution. </w:t>
      </w:r>
      <w:r w:rsidRPr="009F67AE">
        <w:rPr>
          <w:b/>
          <w:bCs/>
        </w:rPr>
        <w:t>Please remove the highlighting prior to submission.</w:t>
      </w:r>
      <w:r>
        <w:t xml:space="preserve"> </w:t>
      </w:r>
      <w:r w:rsidR="004A7C82">
        <w:t xml:space="preserve">Your ACCJC staff liaison is available to answer questions at any time. </w:t>
      </w:r>
    </w:p>
    <w:p w14:paraId="187944D2" w14:textId="77777777" w:rsidR="004A7C82" w:rsidRDefault="004A7C82" w:rsidP="00993CFE">
      <w:pPr>
        <w:spacing w:line="22" w:lineRule="atLeast"/>
      </w:pPr>
    </w:p>
    <w:p w14:paraId="7F51E0CF" w14:textId="2061D005" w:rsidR="004A7C82" w:rsidRPr="000565D5" w:rsidRDefault="002C558F" w:rsidP="00993CFE">
      <w:pPr>
        <w:spacing w:line="22" w:lineRule="atLeast"/>
        <w:rPr>
          <w:b/>
          <w:bCs/>
        </w:rPr>
      </w:pPr>
      <w:r>
        <w:rPr>
          <w:b/>
          <w:bCs/>
        </w:rPr>
        <w:t>CHECKLIST FOR REVIEW OF TEACH-OUT AGREEMENTS</w:t>
      </w:r>
    </w:p>
    <w:p w14:paraId="032A7212" w14:textId="536C751A" w:rsidR="004A7C82" w:rsidRPr="009F67AE" w:rsidRDefault="002C558F" w:rsidP="00993CFE">
      <w:pPr>
        <w:spacing w:line="22" w:lineRule="atLeast"/>
        <w:rPr>
          <w:b/>
          <w:bCs/>
        </w:rPr>
      </w:pPr>
      <w:r>
        <w:t xml:space="preserve">In addition to the cover sheet, this document contains a copy of the checklist used by the Commission as it reviews and </w:t>
      </w:r>
      <w:r w:rsidR="002F5459">
        <w:t xml:space="preserve">approves teach-out agreements. </w:t>
      </w:r>
      <w:r>
        <w:t>The checklist ensures that each teach-out agreement contains specific elements required by p</w:t>
      </w:r>
      <w:r w:rsidR="002F5459">
        <w:t xml:space="preserve">olicy and federal regulations. </w:t>
      </w:r>
      <w:r>
        <w:t>The checklist has been pro</w:t>
      </w:r>
      <w:r w:rsidR="002F5459">
        <w:t xml:space="preserve">vided here for reference only. </w:t>
      </w:r>
      <w:r>
        <w:t xml:space="preserve">Your institution is </w:t>
      </w:r>
      <w:r w:rsidRPr="002C558F">
        <w:rPr>
          <w:b/>
          <w:bCs/>
        </w:rPr>
        <w:t>not</w:t>
      </w:r>
      <w:r>
        <w:t xml:space="preserve"> required to fill out the checklist when submitting a teach-out agreement to ACCJC, but you may find it useful as you prepare agreements with receiving institutions. </w:t>
      </w:r>
      <w:r w:rsidR="009F67AE">
        <w:rPr>
          <w:b/>
          <w:bCs/>
        </w:rPr>
        <w:t>Please delete the checklist from your cover sheet prior to submission.</w:t>
      </w:r>
    </w:p>
    <w:p w14:paraId="0E66BC3D" w14:textId="77777777" w:rsidR="004A7C82" w:rsidRDefault="004A7C82" w:rsidP="00993CFE">
      <w:pPr>
        <w:spacing w:line="22" w:lineRule="atLeast"/>
        <w:rPr>
          <w:b/>
        </w:rPr>
      </w:pPr>
    </w:p>
    <w:p w14:paraId="16501D46" w14:textId="77777777" w:rsidR="004A7C82" w:rsidRPr="00870C7F" w:rsidRDefault="004A7C82" w:rsidP="00993CFE">
      <w:pPr>
        <w:spacing w:line="22" w:lineRule="atLeast"/>
      </w:pPr>
      <w:r>
        <w:rPr>
          <w:b/>
        </w:rPr>
        <w:t xml:space="preserve">SUBMISSION PROCESS: </w:t>
      </w:r>
    </w:p>
    <w:p w14:paraId="1A7FB7E3" w14:textId="449E9931" w:rsidR="004A7C82" w:rsidRPr="00981D53" w:rsidRDefault="004A7C82" w:rsidP="00993CFE">
      <w:pPr>
        <w:spacing w:line="22" w:lineRule="atLeast"/>
      </w:pPr>
      <w:r>
        <w:t xml:space="preserve">Unless you receive other guidance from your ACCJC staff liaison, you will submit your </w:t>
      </w:r>
      <w:r w:rsidR="00D3757C">
        <w:t xml:space="preserve">cover sheet, teach-out agreement(s), and any supporting </w:t>
      </w:r>
      <w:r>
        <w:t xml:space="preserve">documentation by uploading your files to ACCJC’s </w:t>
      </w:r>
      <w:r w:rsidRPr="00981D53">
        <w:t xml:space="preserve">secure online cloud service. </w:t>
      </w:r>
      <w:r w:rsidR="00D3757C">
        <w:t xml:space="preserve">Please contact your </w:t>
      </w:r>
      <w:r w:rsidRPr="00981D53">
        <w:t xml:space="preserve">ACCJC staff liaison </w:t>
      </w:r>
      <w:r w:rsidR="00D3757C">
        <w:t xml:space="preserve">to request a secure link. </w:t>
      </w:r>
    </w:p>
    <w:p w14:paraId="30BE2E72" w14:textId="77777777" w:rsidR="004A7C82" w:rsidRDefault="004A7C82" w:rsidP="00993CFE">
      <w:pPr>
        <w:spacing w:line="22" w:lineRule="atLeast"/>
        <w:rPr>
          <w:rFonts w:cstheme="minorHAnsi"/>
        </w:rPr>
      </w:pPr>
    </w:p>
    <w:p w14:paraId="0B08A0FC" w14:textId="5AF8C692" w:rsidR="004A7C82" w:rsidRPr="00565FC2" w:rsidRDefault="004A7C82" w:rsidP="00993CFE">
      <w:pPr>
        <w:spacing w:line="22" w:lineRule="atLeast"/>
        <w:rPr>
          <w:rFonts w:cstheme="minorHAnsi"/>
        </w:rPr>
      </w:pPr>
      <w:r>
        <w:rPr>
          <w:rFonts w:cstheme="minorHAnsi"/>
        </w:rPr>
        <w:t xml:space="preserve">Your submission </w:t>
      </w:r>
      <w:r w:rsidR="00993CFE">
        <w:rPr>
          <w:rFonts w:cstheme="minorHAnsi"/>
        </w:rPr>
        <w:t xml:space="preserve">must </w:t>
      </w:r>
      <w:r>
        <w:rPr>
          <w:rFonts w:cstheme="minorHAnsi"/>
        </w:rPr>
        <w:t xml:space="preserve">include the following: </w:t>
      </w:r>
    </w:p>
    <w:p w14:paraId="40EAD744" w14:textId="77777777" w:rsidR="00D3757C" w:rsidRDefault="004A7C82" w:rsidP="00647ED8">
      <w:pPr>
        <w:pStyle w:val="ListParagraph"/>
        <w:widowControl/>
        <w:numPr>
          <w:ilvl w:val="0"/>
          <w:numId w:val="2"/>
        </w:numPr>
        <w:kinsoku w:val="0"/>
        <w:spacing w:before="60"/>
        <w:ind w:left="1080"/>
        <w:rPr>
          <w:rFonts w:cstheme="minorHAnsi"/>
        </w:rPr>
      </w:pPr>
      <w:r>
        <w:rPr>
          <w:rFonts w:cstheme="minorHAnsi"/>
        </w:rPr>
        <w:t xml:space="preserve">a PDF </w:t>
      </w:r>
      <w:r w:rsidRPr="00565FC2">
        <w:rPr>
          <w:rFonts w:cstheme="minorHAnsi"/>
        </w:rPr>
        <w:t xml:space="preserve">copy of the </w:t>
      </w:r>
      <w:r w:rsidR="00D3757C">
        <w:rPr>
          <w:rFonts w:cstheme="minorHAnsi"/>
        </w:rPr>
        <w:t xml:space="preserve">cover </w:t>
      </w:r>
      <w:proofErr w:type="gramStart"/>
      <w:r w:rsidR="00D3757C">
        <w:rPr>
          <w:rFonts w:cstheme="minorHAnsi"/>
        </w:rPr>
        <w:t>sheet;</w:t>
      </w:r>
      <w:proofErr w:type="gramEnd"/>
      <w:r w:rsidR="00D3757C">
        <w:rPr>
          <w:rFonts w:cstheme="minorHAnsi"/>
        </w:rPr>
        <w:t xml:space="preserve"> </w:t>
      </w:r>
    </w:p>
    <w:p w14:paraId="6514A7A8" w14:textId="52465E61" w:rsidR="004A7C82" w:rsidRPr="00565FC2" w:rsidRDefault="00D3757C" w:rsidP="00647ED8">
      <w:pPr>
        <w:pStyle w:val="ListParagraph"/>
        <w:widowControl/>
        <w:numPr>
          <w:ilvl w:val="0"/>
          <w:numId w:val="2"/>
        </w:numPr>
        <w:kinsoku w:val="0"/>
        <w:spacing w:before="60"/>
        <w:ind w:left="1080"/>
        <w:rPr>
          <w:rFonts w:cstheme="minorHAnsi"/>
        </w:rPr>
      </w:pPr>
      <w:r>
        <w:rPr>
          <w:rFonts w:cstheme="minorHAnsi"/>
        </w:rPr>
        <w:t xml:space="preserve">a PDF copy of each </w:t>
      </w:r>
      <w:r w:rsidR="004A7C82">
        <w:rPr>
          <w:rFonts w:cstheme="minorHAnsi"/>
        </w:rPr>
        <w:t xml:space="preserve">teach-out </w:t>
      </w:r>
      <w:r w:rsidR="00660332">
        <w:rPr>
          <w:rFonts w:cstheme="minorHAnsi"/>
        </w:rPr>
        <w:t>agreement</w:t>
      </w:r>
      <w:r>
        <w:rPr>
          <w:rFonts w:cstheme="minorHAnsi"/>
        </w:rPr>
        <w:t xml:space="preserve"> being submitted for </w:t>
      </w:r>
      <w:proofErr w:type="gramStart"/>
      <w:r>
        <w:rPr>
          <w:rFonts w:cstheme="minorHAnsi"/>
        </w:rPr>
        <w:t>review</w:t>
      </w:r>
      <w:r w:rsidR="004A7C82">
        <w:rPr>
          <w:rFonts w:cstheme="minorHAnsi"/>
        </w:rPr>
        <w:t>;</w:t>
      </w:r>
      <w:proofErr w:type="gramEnd"/>
      <w:r w:rsidR="004A7C82">
        <w:rPr>
          <w:rFonts w:cstheme="minorHAnsi"/>
        </w:rPr>
        <w:t xml:space="preserve"> </w:t>
      </w:r>
    </w:p>
    <w:p w14:paraId="6470B624" w14:textId="40393B34" w:rsidR="004A7C82" w:rsidRDefault="004A7C82" w:rsidP="00647ED8">
      <w:pPr>
        <w:pStyle w:val="ListParagraph"/>
        <w:widowControl/>
        <w:numPr>
          <w:ilvl w:val="0"/>
          <w:numId w:val="2"/>
        </w:numPr>
        <w:kinsoku w:val="0"/>
        <w:spacing w:before="60"/>
        <w:ind w:left="1080"/>
        <w:rPr>
          <w:rFonts w:cstheme="minorHAnsi"/>
        </w:rPr>
      </w:pPr>
      <w:r w:rsidRPr="00565FC2">
        <w:rPr>
          <w:rFonts w:cstheme="minorHAnsi"/>
        </w:rPr>
        <w:t xml:space="preserve">a folder </w:t>
      </w:r>
      <w:r w:rsidR="0036033B">
        <w:rPr>
          <w:rFonts w:cstheme="minorHAnsi"/>
        </w:rPr>
        <w:t xml:space="preserve">(or folders) </w:t>
      </w:r>
      <w:r w:rsidRPr="00565FC2">
        <w:rPr>
          <w:rFonts w:cstheme="minorHAnsi"/>
        </w:rPr>
        <w:t>containi</w:t>
      </w:r>
      <w:r>
        <w:rPr>
          <w:rFonts w:cstheme="minorHAnsi"/>
        </w:rPr>
        <w:t xml:space="preserve">ng </w:t>
      </w:r>
      <w:r w:rsidR="0036033B">
        <w:rPr>
          <w:rFonts w:cstheme="minorHAnsi"/>
        </w:rPr>
        <w:t xml:space="preserve">PDF </w:t>
      </w:r>
      <w:r>
        <w:rPr>
          <w:rFonts w:cstheme="minorHAnsi"/>
        </w:rPr>
        <w:t xml:space="preserve">copies of </w:t>
      </w:r>
      <w:r w:rsidR="00D3757C">
        <w:rPr>
          <w:rFonts w:cstheme="minorHAnsi"/>
        </w:rPr>
        <w:t>any supporting evidence.</w:t>
      </w:r>
    </w:p>
    <w:p w14:paraId="2221C884" w14:textId="77777777" w:rsidR="004A7C82" w:rsidRDefault="004A7C82" w:rsidP="00D82377">
      <w:r>
        <w:br w:type="page"/>
      </w:r>
    </w:p>
    <w:p w14:paraId="11DDBD07" w14:textId="3E054A24" w:rsidR="004905DB" w:rsidRDefault="0046735D" w:rsidP="004905DB">
      <w:bookmarkStart w:id="2" w:name="_Toc144122803"/>
      <w:bookmarkEnd w:id="0"/>
      <w:r w:rsidRPr="00627FB3">
        <w:rPr>
          <w:highlight w:val="lightGray"/>
        </w:rPr>
        <w:lastRenderedPageBreak/>
        <w:t>[Insert college letterhead]</w:t>
      </w:r>
    </w:p>
    <w:p w14:paraId="761585CF" w14:textId="77777777" w:rsidR="0046735D" w:rsidRDefault="0046735D" w:rsidP="004905DB"/>
    <w:p w14:paraId="53EF2D34" w14:textId="77777777" w:rsidR="0046735D" w:rsidRDefault="0046735D" w:rsidP="004905DB"/>
    <w:p w14:paraId="02A97B4E" w14:textId="32BB3BBA" w:rsidR="004905DB" w:rsidRDefault="004905DB" w:rsidP="004905DB">
      <w:r w:rsidRPr="0046735D">
        <w:rPr>
          <w:b/>
          <w:bCs/>
        </w:rPr>
        <w:t>To:</w:t>
      </w:r>
      <w:r>
        <w:t xml:space="preserve"> </w:t>
      </w:r>
      <w:r>
        <w:tab/>
        <w:t>Accrediting Commission for Community and Junior Colleges</w:t>
      </w:r>
    </w:p>
    <w:p w14:paraId="3AEC16EF" w14:textId="77777777" w:rsidR="004905DB" w:rsidRDefault="004905DB" w:rsidP="004905DB"/>
    <w:p w14:paraId="0E38A021" w14:textId="77777777" w:rsidR="004905DB" w:rsidRDefault="004905DB" w:rsidP="004905DB">
      <w:r w:rsidRPr="0046735D">
        <w:rPr>
          <w:b/>
          <w:bCs/>
        </w:rPr>
        <w:t>From:</w:t>
      </w:r>
      <w:r>
        <w:t xml:space="preserve"> </w:t>
      </w:r>
      <w:r>
        <w:tab/>
      </w:r>
      <w:r w:rsidRPr="00627FB3">
        <w:rPr>
          <w:highlight w:val="lightGray"/>
        </w:rPr>
        <w:t>[insert Name of Chief Executive Officer]</w:t>
      </w:r>
    </w:p>
    <w:p w14:paraId="2D63B92D" w14:textId="77777777" w:rsidR="004905DB" w:rsidRDefault="004905DB" w:rsidP="004905DB">
      <w:r>
        <w:tab/>
      </w:r>
      <w:r w:rsidRPr="00627FB3">
        <w:rPr>
          <w:highlight w:val="lightGray"/>
        </w:rPr>
        <w:t>[insert Name of Institution]</w:t>
      </w:r>
    </w:p>
    <w:p w14:paraId="65C3CD1C" w14:textId="77777777" w:rsidR="004905DB" w:rsidRDefault="004905DB" w:rsidP="004905DB">
      <w:r>
        <w:tab/>
      </w:r>
      <w:r w:rsidRPr="00627FB3">
        <w:rPr>
          <w:highlight w:val="lightGray"/>
        </w:rPr>
        <w:t>[insert Institution Address]</w:t>
      </w:r>
    </w:p>
    <w:p w14:paraId="23A09C3E" w14:textId="77777777" w:rsidR="004905DB" w:rsidRDefault="004905DB" w:rsidP="004905DB"/>
    <w:p w14:paraId="12624552" w14:textId="0013FC94" w:rsidR="0046735D" w:rsidRDefault="0046735D" w:rsidP="004905DB">
      <w:r>
        <w:rPr>
          <w:b/>
          <w:bCs/>
        </w:rPr>
        <w:t xml:space="preserve">Re: </w:t>
      </w:r>
      <w:r>
        <w:tab/>
        <w:t>Teach-Out Agreements</w:t>
      </w:r>
    </w:p>
    <w:p w14:paraId="3E85A327" w14:textId="77777777" w:rsidR="00DE2456" w:rsidRDefault="00DE2456" w:rsidP="004905DB"/>
    <w:p w14:paraId="12E6F627" w14:textId="77777777" w:rsidR="00DE2456" w:rsidRPr="0046735D" w:rsidRDefault="00DE2456" w:rsidP="004905DB"/>
    <w:p w14:paraId="26916D56" w14:textId="59B03E3D" w:rsidR="004905DB" w:rsidRDefault="004905DB" w:rsidP="004905DB">
      <w:r>
        <w:t>Enclosed</w:t>
      </w:r>
      <w:r w:rsidR="002A1AD4">
        <w:t xml:space="preserve"> in this submission</w:t>
      </w:r>
      <w:r>
        <w:t xml:space="preserve">, please find teach-out agreements between </w:t>
      </w:r>
      <w:r w:rsidRPr="00627FB3">
        <w:rPr>
          <w:highlight w:val="lightGray"/>
        </w:rPr>
        <w:t>[insert name of your institution]</w:t>
      </w:r>
      <w:r>
        <w:t xml:space="preserve"> and the institutions noted in the table below</w:t>
      </w:r>
      <w:r w:rsidR="00CE06CF">
        <w:t xml:space="preserve"> as requested by the Commission in the action letter dated </w:t>
      </w:r>
      <w:r w:rsidR="00CE06CF" w:rsidRPr="00627FB3">
        <w:rPr>
          <w:highlight w:val="lightGray"/>
        </w:rPr>
        <w:t>[insert date of action letter]</w:t>
      </w:r>
      <w:r w:rsidR="00CE06CF">
        <w:t xml:space="preserve">. In accordance with the Commission’s </w:t>
      </w:r>
      <w:r w:rsidR="00CE06CF">
        <w:rPr>
          <w:i/>
          <w:iCs/>
        </w:rPr>
        <w:t>Policy on Teach-Out Plans and Agreements</w:t>
      </w:r>
      <w:r w:rsidR="0023748A">
        <w:rPr>
          <w:i/>
          <w:iCs/>
        </w:rPr>
        <w:t xml:space="preserve">, </w:t>
      </w:r>
      <w:r w:rsidR="0023748A">
        <w:t xml:space="preserve">these agreements provide </w:t>
      </w:r>
      <w:r w:rsidR="00CE06CF">
        <w:t>for the equitable treatment of students</w:t>
      </w:r>
      <w:r w:rsidR="006C2D57">
        <w:t xml:space="preserve">. </w:t>
      </w:r>
      <w:bookmarkStart w:id="3" w:name="_Hlk158383814"/>
      <w:r w:rsidR="006C2D57">
        <w:t xml:space="preserve">They </w:t>
      </w:r>
      <w:r w:rsidR="002A1AD4">
        <w:t>ensure enrolled students can complete their programs of study</w:t>
      </w:r>
      <w:r w:rsidR="00383B54">
        <w:t xml:space="preserve"> </w:t>
      </w:r>
      <w:r w:rsidR="00425F18" w:rsidRPr="00425F18">
        <w:t>and meet curricular requirements for professional licensure or certification, if applicable</w:t>
      </w:r>
      <w:r w:rsidR="002B684D">
        <w:t xml:space="preserve">, </w:t>
      </w:r>
      <w:r w:rsidR="002A1AD4">
        <w:t>with minimal disruption</w:t>
      </w:r>
      <w:r w:rsidR="0023748A">
        <w:t xml:space="preserve"> </w:t>
      </w:r>
      <w:proofErr w:type="gramStart"/>
      <w:r w:rsidR="0023748A">
        <w:t>in the event that</w:t>
      </w:r>
      <w:proofErr w:type="gramEnd"/>
      <w:r w:rsidR="0023748A">
        <w:t xml:space="preserve"> </w:t>
      </w:r>
      <w:r w:rsidR="0023748A" w:rsidRPr="00627FB3">
        <w:rPr>
          <w:highlight w:val="lightGray"/>
        </w:rPr>
        <w:t>[insert either the name of the institution or the name of the institutional location, as appropriate for the circumstances requiring a teach-out]</w:t>
      </w:r>
      <w:r w:rsidR="0023748A">
        <w:t xml:space="preserve"> should cease operations</w:t>
      </w:r>
      <w:r w:rsidR="002A1AD4" w:rsidRPr="0023748A">
        <w:t>.</w:t>
      </w:r>
      <w:r w:rsidR="00CE06CF">
        <w:t xml:space="preserve"> </w:t>
      </w:r>
    </w:p>
    <w:bookmarkEnd w:id="3"/>
    <w:p w14:paraId="341C4B84" w14:textId="77777777" w:rsidR="004905DB" w:rsidRDefault="004905DB" w:rsidP="004905DB"/>
    <w:tbl>
      <w:tblPr>
        <w:tblStyle w:val="TableGrid"/>
        <w:tblW w:w="5000" w:type="pct"/>
        <w:tblLook w:val="04A0" w:firstRow="1" w:lastRow="0" w:firstColumn="1" w:lastColumn="0" w:noHBand="0" w:noVBand="1"/>
      </w:tblPr>
      <w:tblGrid>
        <w:gridCol w:w="4855"/>
        <w:gridCol w:w="4495"/>
      </w:tblGrid>
      <w:tr w:rsidR="00DE2456" w:rsidRPr="00B63977" w14:paraId="70B4C43D" w14:textId="77777777" w:rsidTr="006C2D57">
        <w:tc>
          <w:tcPr>
            <w:tcW w:w="2596" w:type="pct"/>
          </w:tcPr>
          <w:p w14:paraId="6BF137BB" w14:textId="77777777" w:rsidR="00DE2456" w:rsidRPr="00B63977" w:rsidRDefault="00DE2456" w:rsidP="0062635D">
            <w:pPr>
              <w:rPr>
                <w:b/>
                <w:bCs/>
              </w:rPr>
            </w:pPr>
            <w:bookmarkStart w:id="4" w:name="_Hlk144450576"/>
            <w:r>
              <w:rPr>
                <w:b/>
                <w:bCs/>
              </w:rPr>
              <w:t>Institution Name</w:t>
            </w:r>
          </w:p>
        </w:tc>
        <w:tc>
          <w:tcPr>
            <w:tcW w:w="2404" w:type="pct"/>
          </w:tcPr>
          <w:p w14:paraId="1FF3E5B7" w14:textId="138FB7B2" w:rsidR="00DE2456" w:rsidRDefault="00DE2456" w:rsidP="0062635D">
            <w:pPr>
              <w:rPr>
                <w:b/>
                <w:bCs/>
              </w:rPr>
            </w:pPr>
            <w:r>
              <w:rPr>
                <w:b/>
                <w:bCs/>
              </w:rPr>
              <w:t>Accreditation Status</w:t>
            </w:r>
          </w:p>
        </w:tc>
      </w:tr>
      <w:tr w:rsidR="00DE2456" w:rsidRPr="00B63977" w14:paraId="45C488EE" w14:textId="77777777" w:rsidTr="006C2D57">
        <w:tc>
          <w:tcPr>
            <w:tcW w:w="2596" w:type="pct"/>
          </w:tcPr>
          <w:p w14:paraId="61D958F6" w14:textId="77777777" w:rsidR="00DE2456" w:rsidRPr="00627FB3" w:rsidRDefault="00DE2456" w:rsidP="0062635D">
            <w:pPr>
              <w:rPr>
                <w:sz w:val="20"/>
                <w:szCs w:val="20"/>
                <w:highlight w:val="lightGray"/>
              </w:rPr>
            </w:pPr>
            <w:r w:rsidRPr="00627FB3">
              <w:rPr>
                <w:sz w:val="20"/>
                <w:szCs w:val="20"/>
                <w:highlight w:val="lightGray"/>
              </w:rPr>
              <w:t>[Insert name(s) of accredited institution(s) with similar programs where teach-out agreement has been established]</w:t>
            </w:r>
          </w:p>
        </w:tc>
        <w:tc>
          <w:tcPr>
            <w:tcW w:w="2404" w:type="pct"/>
          </w:tcPr>
          <w:p w14:paraId="6A36B87F" w14:textId="1AF5AE66" w:rsidR="00DE2456" w:rsidRPr="00627FB3" w:rsidRDefault="00DE2456" w:rsidP="0062635D">
            <w:pPr>
              <w:rPr>
                <w:sz w:val="20"/>
                <w:szCs w:val="20"/>
                <w:highlight w:val="lightGray"/>
              </w:rPr>
            </w:pPr>
            <w:r w:rsidRPr="00627FB3">
              <w:rPr>
                <w:sz w:val="20"/>
                <w:szCs w:val="20"/>
                <w:highlight w:val="lightGray"/>
              </w:rPr>
              <w:t xml:space="preserve">[Insert </w:t>
            </w:r>
            <w:proofErr w:type="gramStart"/>
            <w:r w:rsidRPr="00627FB3">
              <w:rPr>
                <w:sz w:val="20"/>
                <w:szCs w:val="20"/>
                <w:highlight w:val="lightGray"/>
              </w:rPr>
              <w:t>name</w:t>
            </w:r>
            <w:proofErr w:type="gramEnd"/>
            <w:r w:rsidRPr="00627FB3">
              <w:rPr>
                <w:sz w:val="20"/>
                <w:szCs w:val="20"/>
                <w:highlight w:val="lightGray"/>
              </w:rPr>
              <w:t xml:space="preserve"> of this receiving institution’s institutional accreditor and list </w:t>
            </w:r>
            <w:proofErr w:type="gramStart"/>
            <w:r w:rsidRPr="00627FB3">
              <w:rPr>
                <w:sz w:val="20"/>
                <w:szCs w:val="20"/>
                <w:highlight w:val="lightGray"/>
              </w:rPr>
              <w:t>current status</w:t>
            </w:r>
            <w:proofErr w:type="gramEnd"/>
            <w:r w:rsidRPr="00627FB3">
              <w:rPr>
                <w:sz w:val="20"/>
                <w:szCs w:val="20"/>
                <w:highlight w:val="lightGray"/>
              </w:rPr>
              <w:t xml:space="preserve"> with this agency. E.g., </w:t>
            </w:r>
            <w:r w:rsidR="006C2D57" w:rsidRPr="00627FB3">
              <w:rPr>
                <w:sz w:val="20"/>
                <w:szCs w:val="20"/>
                <w:highlight w:val="lightGray"/>
              </w:rPr>
              <w:t>WSCUC</w:t>
            </w:r>
            <w:r w:rsidRPr="00627FB3">
              <w:rPr>
                <w:sz w:val="20"/>
                <w:szCs w:val="20"/>
                <w:highlight w:val="lightGray"/>
              </w:rPr>
              <w:t>; Last reaffirmed June 2021]</w:t>
            </w:r>
          </w:p>
        </w:tc>
      </w:tr>
      <w:tr w:rsidR="00DE2456" w:rsidRPr="00B63977" w14:paraId="5A1B4793" w14:textId="77777777" w:rsidTr="006C2D57">
        <w:tc>
          <w:tcPr>
            <w:tcW w:w="2596" w:type="pct"/>
          </w:tcPr>
          <w:p w14:paraId="1FC5E8C8" w14:textId="77777777" w:rsidR="00DE2456" w:rsidRPr="00627FB3" w:rsidRDefault="00DE2456" w:rsidP="00DE2456">
            <w:pPr>
              <w:rPr>
                <w:sz w:val="20"/>
                <w:szCs w:val="20"/>
                <w:highlight w:val="lightGray"/>
              </w:rPr>
            </w:pPr>
            <w:r w:rsidRPr="00627FB3">
              <w:rPr>
                <w:sz w:val="20"/>
                <w:szCs w:val="20"/>
                <w:highlight w:val="lightGray"/>
              </w:rPr>
              <w:t>[Insert name(s) of accredited institution(s) with similar programs where teach-out agreement has been established]</w:t>
            </w:r>
          </w:p>
        </w:tc>
        <w:tc>
          <w:tcPr>
            <w:tcW w:w="2404" w:type="pct"/>
          </w:tcPr>
          <w:p w14:paraId="067FFDBA" w14:textId="6622FA6F" w:rsidR="00DE2456" w:rsidRPr="00627FB3" w:rsidRDefault="00DE2456" w:rsidP="00DE2456">
            <w:pPr>
              <w:rPr>
                <w:sz w:val="20"/>
                <w:szCs w:val="20"/>
                <w:highlight w:val="lightGray"/>
              </w:rPr>
            </w:pPr>
            <w:r w:rsidRPr="00627FB3">
              <w:rPr>
                <w:sz w:val="20"/>
                <w:szCs w:val="20"/>
                <w:highlight w:val="lightGray"/>
              </w:rPr>
              <w:t xml:space="preserve">[Insert </w:t>
            </w:r>
            <w:proofErr w:type="gramStart"/>
            <w:r w:rsidRPr="00627FB3">
              <w:rPr>
                <w:sz w:val="20"/>
                <w:szCs w:val="20"/>
                <w:highlight w:val="lightGray"/>
              </w:rPr>
              <w:t>name</w:t>
            </w:r>
            <w:proofErr w:type="gramEnd"/>
            <w:r w:rsidRPr="00627FB3">
              <w:rPr>
                <w:sz w:val="20"/>
                <w:szCs w:val="20"/>
                <w:highlight w:val="lightGray"/>
              </w:rPr>
              <w:t xml:space="preserve"> of this receiving institution’s institutional accreditor and list </w:t>
            </w:r>
            <w:proofErr w:type="gramStart"/>
            <w:r w:rsidRPr="00627FB3">
              <w:rPr>
                <w:sz w:val="20"/>
                <w:szCs w:val="20"/>
                <w:highlight w:val="lightGray"/>
              </w:rPr>
              <w:t>current status</w:t>
            </w:r>
            <w:proofErr w:type="gramEnd"/>
            <w:r w:rsidRPr="00627FB3">
              <w:rPr>
                <w:sz w:val="20"/>
                <w:szCs w:val="20"/>
                <w:highlight w:val="lightGray"/>
              </w:rPr>
              <w:t xml:space="preserve"> with this agency. E.g., </w:t>
            </w:r>
            <w:r w:rsidR="006C2D57" w:rsidRPr="00627FB3">
              <w:rPr>
                <w:sz w:val="20"/>
                <w:szCs w:val="20"/>
                <w:highlight w:val="lightGray"/>
              </w:rPr>
              <w:t xml:space="preserve">WSCUC; </w:t>
            </w:r>
            <w:r w:rsidRPr="00627FB3">
              <w:rPr>
                <w:sz w:val="20"/>
                <w:szCs w:val="20"/>
                <w:highlight w:val="lightGray"/>
              </w:rPr>
              <w:t>Last reaffirmed June 2021]</w:t>
            </w:r>
          </w:p>
        </w:tc>
      </w:tr>
    </w:tbl>
    <w:bookmarkEnd w:id="4"/>
    <w:p w14:paraId="07C6AD40" w14:textId="391FCB90" w:rsidR="002A1AD4" w:rsidRDefault="002A1AD4" w:rsidP="004905DB">
      <w:r w:rsidRPr="00627FB3">
        <w:rPr>
          <w:highlight w:val="lightGray"/>
        </w:rPr>
        <w:t>[Insert additional rows as needed]</w:t>
      </w:r>
    </w:p>
    <w:p w14:paraId="2DA084D0" w14:textId="77777777" w:rsidR="00004207" w:rsidRDefault="00004207" w:rsidP="004905DB"/>
    <w:p w14:paraId="535695F6" w14:textId="77777777" w:rsidR="00004207" w:rsidRDefault="00004207" w:rsidP="004905DB"/>
    <w:p w14:paraId="2303A47D" w14:textId="77777777" w:rsidR="00004207" w:rsidRDefault="00004207" w:rsidP="004905DB">
      <w:pPr>
        <w:sectPr w:rsidR="00004207">
          <w:pgSz w:w="12240" w:h="15840"/>
          <w:pgMar w:top="1440" w:right="1440" w:bottom="1440" w:left="1440" w:header="720" w:footer="720" w:gutter="0"/>
          <w:cols w:space="720"/>
          <w:docGrid w:linePitch="360"/>
        </w:sectPr>
      </w:pPr>
    </w:p>
    <w:p w14:paraId="6F022AF3" w14:textId="77777777" w:rsidR="00004207" w:rsidRPr="004506DA" w:rsidRDefault="00004207" w:rsidP="0001503C">
      <w:pPr>
        <w:spacing w:after="60"/>
        <w:rPr>
          <w:rFonts w:eastAsia="Calibri" w:cs="Times New Roman"/>
          <w:b/>
          <w:bCs/>
        </w:rPr>
      </w:pPr>
      <w:r w:rsidRPr="004506DA">
        <w:rPr>
          <w:rFonts w:eastAsia="Calibri" w:cs="Times New Roman"/>
          <w:b/>
          <w:bCs/>
        </w:rPr>
        <w:lastRenderedPageBreak/>
        <w:t xml:space="preserve">Name of Proposed Receiving Institution: </w:t>
      </w:r>
      <w:r w:rsidRPr="00627FB3">
        <w:rPr>
          <w:rFonts w:eastAsia="Calibri" w:cs="Times New Roman"/>
          <w:b/>
          <w:bCs/>
          <w:highlight w:val="lightGray"/>
        </w:rPr>
        <w:t>[insert name of institution]</w:t>
      </w:r>
    </w:p>
    <w:tbl>
      <w:tblPr>
        <w:tblStyle w:val="TableGrid2"/>
        <w:tblW w:w="5000" w:type="pct"/>
        <w:tblCellMar>
          <w:top w:w="72" w:type="dxa"/>
          <w:bottom w:w="72" w:type="dxa"/>
        </w:tblCellMar>
        <w:tblLook w:val="04A0" w:firstRow="1" w:lastRow="0" w:firstColumn="1" w:lastColumn="0" w:noHBand="0" w:noVBand="1"/>
      </w:tblPr>
      <w:tblGrid>
        <w:gridCol w:w="9791"/>
        <w:gridCol w:w="999"/>
      </w:tblGrid>
      <w:tr w:rsidR="00004207" w:rsidRPr="004506DA" w14:paraId="083A0885" w14:textId="77777777" w:rsidTr="0062635D">
        <w:tc>
          <w:tcPr>
            <w:tcW w:w="5000" w:type="pct"/>
            <w:gridSpan w:val="2"/>
            <w:shd w:val="clear" w:color="auto" w:fill="D9E2F3" w:themeFill="accent1" w:themeFillTint="33"/>
          </w:tcPr>
          <w:p w14:paraId="413697E0" w14:textId="77777777" w:rsidR="00004207" w:rsidRPr="004506DA" w:rsidRDefault="00004207" w:rsidP="0062635D">
            <w:pPr>
              <w:rPr>
                <w:rFonts w:eastAsia="Calibri" w:cs="Times New Roman"/>
                <w:b/>
                <w:bCs/>
              </w:rPr>
            </w:pPr>
            <w:r>
              <w:rPr>
                <w:rFonts w:eastAsia="Calibri" w:cs="Times New Roman"/>
                <w:b/>
                <w:bCs/>
              </w:rPr>
              <w:t xml:space="preserve">1. </w:t>
            </w:r>
            <w:r w:rsidRPr="004506DA">
              <w:rPr>
                <w:rFonts w:eastAsia="Calibri" w:cs="Times New Roman"/>
                <w:b/>
                <w:bCs/>
              </w:rPr>
              <w:t>Conditions that would Prohibit Approval of an Individual Teach-Out Institution</w:t>
            </w:r>
          </w:p>
          <w:p w14:paraId="666D3FEB" w14:textId="33D61F7F" w:rsidR="00004207" w:rsidRPr="004506DA" w:rsidRDefault="00004207" w:rsidP="002F5459">
            <w:pPr>
              <w:rPr>
                <w:rFonts w:eastAsia="Calibri" w:cs="Times New Roman"/>
                <w:i/>
                <w:iCs/>
                <w:sz w:val="20"/>
                <w:szCs w:val="20"/>
              </w:rPr>
            </w:pPr>
            <w:r w:rsidRPr="0001503C">
              <w:rPr>
                <w:rFonts w:eastAsia="Calibri" w:cs="Times New Roman"/>
                <w:i/>
                <w:iCs/>
                <w:sz w:val="20"/>
                <w:szCs w:val="20"/>
              </w:rPr>
              <w:t>Note: Complete this checklist for each proposed receiving institution listed above. A “</w:t>
            </w:r>
            <w:r w:rsidR="002F5459" w:rsidRPr="0001503C">
              <w:rPr>
                <w:rFonts w:eastAsia="Calibri" w:cs="Times New Roman"/>
                <w:i/>
                <w:iCs/>
                <w:sz w:val="20"/>
                <w:szCs w:val="20"/>
              </w:rPr>
              <w:t>Y</w:t>
            </w:r>
            <w:r w:rsidRPr="0001503C">
              <w:rPr>
                <w:rFonts w:eastAsia="Calibri" w:cs="Times New Roman"/>
                <w:i/>
                <w:iCs/>
                <w:sz w:val="20"/>
                <w:szCs w:val="20"/>
              </w:rPr>
              <w:t>es” in any category will prohibit the Commission from permitting the institution to serve as a teach-out institution. In the event of a “</w:t>
            </w:r>
            <w:r w:rsidR="002F5459" w:rsidRPr="0001503C">
              <w:rPr>
                <w:rFonts w:eastAsia="Calibri" w:cs="Times New Roman"/>
                <w:i/>
                <w:iCs/>
                <w:sz w:val="20"/>
                <w:szCs w:val="20"/>
              </w:rPr>
              <w:t>Y</w:t>
            </w:r>
            <w:r w:rsidRPr="0001503C">
              <w:rPr>
                <w:rFonts w:eastAsia="Calibri" w:cs="Times New Roman"/>
                <w:i/>
                <w:iCs/>
                <w:sz w:val="20"/>
                <w:szCs w:val="20"/>
              </w:rPr>
              <w:t>es” selection below, further review of the agreement’s content is not needed.</w:t>
            </w:r>
          </w:p>
        </w:tc>
      </w:tr>
      <w:tr w:rsidR="00A56FAB" w:rsidRPr="004506DA" w14:paraId="614F86A4" w14:textId="77777777" w:rsidTr="0001503C">
        <w:tc>
          <w:tcPr>
            <w:tcW w:w="4544" w:type="pct"/>
          </w:tcPr>
          <w:p w14:paraId="33A722EF" w14:textId="77777777" w:rsidR="00A56FAB" w:rsidRPr="0001503C" w:rsidRDefault="00A56FAB" w:rsidP="00A56FAB">
            <w:pPr>
              <w:rPr>
                <w:rFonts w:asciiTheme="minorHAnsi" w:eastAsia="Calibri" w:hAnsiTheme="minorHAnsi" w:cstheme="minorHAnsi"/>
                <w:b/>
                <w:bCs/>
                <w:sz w:val="20"/>
                <w:szCs w:val="20"/>
              </w:rPr>
            </w:pPr>
            <w:r w:rsidRPr="0001503C">
              <w:rPr>
                <w:rFonts w:asciiTheme="minorHAnsi" w:eastAsia="Calibri" w:hAnsiTheme="minorHAnsi" w:cstheme="minorHAnsi"/>
                <w:b/>
                <w:bCs/>
                <w:sz w:val="20"/>
                <w:szCs w:val="20"/>
              </w:rPr>
              <w:t xml:space="preserve">If the proposed teach-out institution is nonprofit or proprietary: </w:t>
            </w:r>
          </w:p>
          <w:p w14:paraId="137541A5" w14:textId="2DF3EF4F" w:rsidR="00A56FAB" w:rsidRPr="0001503C" w:rsidRDefault="00A56FAB" w:rsidP="00A56FAB">
            <w:pPr>
              <w:rPr>
                <w:rFonts w:asciiTheme="minorHAnsi" w:eastAsia="Calibri" w:hAnsiTheme="minorHAnsi" w:cstheme="minorHAnsi"/>
                <w:spacing w:val="-4"/>
                <w:sz w:val="20"/>
                <w:szCs w:val="20"/>
              </w:rPr>
            </w:pPr>
            <w:r w:rsidRPr="0001503C">
              <w:rPr>
                <w:rFonts w:asciiTheme="minorHAnsi" w:eastAsia="Calibri" w:hAnsiTheme="minorHAnsi" w:cstheme="minorHAnsi"/>
                <w:spacing w:val="-4"/>
                <w:sz w:val="20"/>
                <w:szCs w:val="20"/>
              </w:rPr>
              <w:t xml:space="preserve">Has the institution's independent auditor </w:t>
            </w:r>
            <w:proofErr w:type="gramStart"/>
            <w:r w:rsidRPr="0001503C">
              <w:rPr>
                <w:rFonts w:asciiTheme="minorHAnsi" w:eastAsia="Calibri" w:hAnsiTheme="minorHAnsi" w:cstheme="minorHAnsi"/>
                <w:spacing w:val="-4"/>
                <w:sz w:val="20"/>
                <w:szCs w:val="20"/>
              </w:rPr>
              <w:t>made a determination</w:t>
            </w:r>
            <w:proofErr w:type="gramEnd"/>
            <w:r w:rsidRPr="0001503C">
              <w:rPr>
                <w:rFonts w:asciiTheme="minorHAnsi" w:eastAsia="Calibri" w:hAnsiTheme="minorHAnsi" w:cstheme="minorHAnsi"/>
                <w:spacing w:val="-4"/>
                <w:sz w:val="20"/>
                <w:szCs w:val="20"/>
              </w:rPr>
              <w:t xml:space="preserve"> that expresses doubt about the institution's ability to operate as a going concern or indicates an adverse opinion or a finding of material weakness related to financial stability?</w:t>
            </w:r>
          </w:p>
        </w:tc>
        <w:tc>
          <w:tcPr>
            <w:tcW w:w="456" w:type="pct"/>
          </w:tcPr>
          <w:p w14:paraId="119B6FF2" w14:textId="50CDDEC2" w:rsidR="00A56FAB" w:rsidRPr="0001503C" w:rsidRDefault="00076FA1" w:rsidP="00A56FAB">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516191833"/>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A56FAB" w:rsidRPr="0001503C">
              <w:rPr>
                <w:rFonts w:asciiTheme="minorHAnsi" w:eastAsia="Calibri" w:hAnsiTheme="minorHAnsi" w:cstheme="minorHAnsi"/>
                <w:sz w:val="20"/>
                <w:szCs w:val="20"/>
              </w:rPr>
              <w:tab/>
              <w:t>Yes</w:t>
            </w:r>
          </w:p>
          <w:p w14:paraId="5EEA65C8" w14:textId="087AE09C" w:rsidR="00A56FAB" w:rsidRPr="0001503C" w:rsidRDefault="00076FA1" w:rsidP="00A56FAB">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490671604"/>
                <w14:checkbox>
                  <w14:checked w14:val="0"/>
                  <w14:checkedState w14:val="2612" w14:font="MS Gothic"/>
                  <w14:uncheckedState w14:val="2610" w14:font="MS Gothic"/>
                </w14:checkbox>
              </w:sdtPr>
              <w:sdtEndPr/>
              <w:sdtContent>
                <w:r w:rsidR="003C419E" w:rsidRPr="0001503C">
                  <w:rPr>
                    <w:rFonts w:ascii="Segoe UI Symbol" w:eastAsia="MS Gothic" w:hAnsi="Segoe UI Symbol" w:cs="Segoe UI Symbol"/>
                    <w:sz w:val="20"/>
                    <w:szCs w:val="20"/>
                  </w:rPr>
                  <w:t>☐</w:t>
                </w:r>
              </w:sdtContent>
            </w:sdt>
            <w:r w:rsidR="00A56FAB" w:rsidRPr="0001503C">
              <w:rPr>
                <w:rFonts w:asciiTheme="minorHAnsi" w:eastAsia="Calibri" w:hAnsiTheme="minorHAnsi" w:cstheme="minorHAnsi"/>
                <w:sz w:val="20"/>
                <w:szCs w:val="20"/>
              </w:rPr>
              <w:tab/>
              <w:t>No</w:t>
            </w:r>
          </w:p>
        </w:tc>
      </w:tr>
      <w:tr w:rsidR="000F47ED" w:rsidRPr="004506DA" w14:paraId="58A2EFA6" w14:textId="77777777" w:rsidTr="0001503C">
        <w:tc>
          <w:tcPr>
            <w:tcW w:w="4544" w:type="pct"/>
          </w:tcPr>
          <w:p w14:paraId="5AD71A59" w14:textId="77777777" w:rsidR="000F47ED" w:rsidRPr="0001503C" w:rsidRDefault="000F47ED" w:rsidP="000F47ED">
            <w:pPr>
              <w:rPr>
                <w:rFonts w:asciiTheme="minorHAnsi" w:eastAsia="Calibri" w:hAnsiTheme="minorHAnsi" w:cstheme="minorHAnsi"/>
                <w:b/>
                <w:bCs/>
                <w:sz w:val="20"/>
                <w:szCs w:val="20"/>
              </w:rPr>
            </w:pPr>
            <w:r w:rsidRPr="0001503C">
              <w:rPr>
                <w:rFonts w:asciiTheme="minorHAnsi" w:eastAsia="Calibri" w:hAnsiTheme="minorHAnsi" w:cstheme="minorHAnsi"/>
                <w:b/>
                <w:bCs/>
                <w:sz w:val="20"/>
                <w:szCs w:val="20"/>
              </w:rPr>
              <w:t>All institutions:</w:t>
            </w:r>
          </w:p>
          <w:p w14:paraId="1FA5EE00" w14:textId="091AAD44" w:rsidR="000F47ED" w:rsidRPr="0001503C" w:rsidRDefault="000F47ED" w:rsidP="000F47ED">
            <w:pPr>
              <w:rPr>
                <w:rFonts w:asciiTheme="minorHAnsi" w:eastAsia="Calibri" w:hAnsiTheme="minorHAnsi" w:cstheme="minorHAnsi"/>
                <w:b/>
                <w:bCs/>
                <w:sz w:val="20"/>
                <w:szCs w:val="20"/>
              </w:rPr>
            </w:pPr>
            <w:r w:rsidRPr="0001503C">
              <w:rPr>
                <w:rFonts w:asciiTheme="minorHAnsi" w:eastAsia="Calibri" w:hAnsiTheme="minorHAnsi" w:cstheme="minorHAnsi"/>
                <w:sz w:val="20"/>
                <w:szCs w:val="20"/>
              </w:rPr>
              <w:t>Has the institution’s accreditor acted to place the institution on probation or show cause?</w:t>
            </w:r>
          </w:p>
        </w:tc>
        <w:tc>
          <w:tcPr>
            <w:tcW w:w="456" w:type="pct"/>
          </w:tcPr>
          <w:p w14:paraId="44D9FAB5" w14:textId="60DF4586"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44558269"/>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3DEA17E1" w14:textId="7973BB55"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836030139"/>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tr w:rsidR="000F47ED" w:rsidRPr="004506DA" w14:paraId="677334F7" w14:textId="77777777" w:rsidTr="0001503C">
        <w:tc>
          <w:tcPr>
            <w:tcW w:w="4544" w:type="pct"/>
          </w:tcPr>
          <w:p w14:paraId="461C8698" w14:textId="373C3B0D" w:rsidR="000F47ED" w:rsidRPr="0001503C" w:rsidRDefault="000F47ED" w:rsidP="000F47ED">
            <w:pPr>
              <w:rPr>
                <w:rFonts w:asciiTheme="minorHAnsi" w:eastAsia="Calibri" w:hAnsiTheme="minorHAnsi" w:cstheme="minorHAnsi"/>
                <w:b/>
                <w:bCs/>
                <w:sz w:val="20"/>
                <w:szCs w:val="20"/>
              </w:rPr>
            </w:pPr>
            <w:r w:rsidRPr="0001503C">
              <w:rPr>
                <w:rFonts w:asciiTheme="minorHAnsi" w:eastAsia="Calibri" w:hAnsiTheme="minorHAnsi" w:cstheme="minorHAnsi"/>
                <w:sz w:val="20"/>
                <w:szCs w:val="20"/>
              </w:rPr>
              <w:t xml:space="preserve">Has the Department of Education notified ACCJC that the institution is participating in </w:t>
            </w:r>
            <w:r w:rsidR="0001503C">
              <w:rPr>
                <w:rFonts w:asciiTheme="minorHAnsi" w:eastAsia="Calibri" w:hAnsiTheme="minorHAnsi" w:cstheme="minorHAnsi"/>
                <w:sz w:val="20"/>
                <w:szCs w:val="20"/>
              </w:rPr>
              <w:t>T</w:t>
            </w:r>
            <w:r w:rsidRPr="0001503C">
              <w:rPr>
                <w:rFonts w:asciiTheme="minorHAnsi" w:eastAsia="Calibri" w:hAnsiTheme="minorHAnsi" w:cstheme="minorHAnsi"/>
                <w:sz w:val="20"/>
                <w:szCs w:val="20"/>
              </w:rPr>
              <w:t>itle IV, HEA programs under a provisional program participation agreement and has required a teach-out plan as a condition of participation?</w:t>
            </w:r>
          </w:p>
        </w:tc>
        <w:tc>
          <w:tcPr>
            <w:tcW w:w="456" w:type="pct"/>
          </w:tcPr>
          <w:p w14:paraId="358F5FF1" w14:textId="77777777"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663592499"/>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56CF3D65" w14:textId="5860778B"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533995520"/>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tr w:rsidR="000F47ED" w:rsidRPr="004506DA" w14:paraId="6DA789F8" w14:textId="77777777" w:rsidTr="0001503C">
        <w:tc>
          <w:tcPr>
            <w:tcW w:w="4544" w:type="pct"/>
          </w:tcPr>
          <w:p w14:paraId="3141254D" w14:textId="140ECB5C" w:rsidR="000F47ED" w:rsidRPr="0001503C" w:rsidRDefault="000F47ED" w:rsidP="000F47ED">
            <w:pPr>
              <w:rPr>
                <w:rFonts w:asciiTheme="minorHAnsi" w:eastAsia="Calibri" w:hAnsiTheme="minorHAnsi" w:cstheme="minorHAnsi"/>
                <w:b/>
                <w:bCs/>
                <w:sz w:val="20"/>
                <w:szCs w:val="20"/>
              </w:rPr>
            </w:pPr>
            <w:r w:rsidRPr="0001503C">
              <w:rPr>
                <w:rFonts w:asciiTheme="minorHAnsi" w:eastAsia="Calibri" w:hAnsiTheme="minorHAnsi" w:cstheme="minorHAnsi"/>
                <w:sz w:val="20"/>
                <w:szCs w:val="20"/>
              </w:rPr>
              <w:t xml:space="preserve">Has the Department of Education notified ACCJC that it has placed the institution on the reimbursement payment method under 34 CFR </w:t>
            </w:r>
            <w:r w:rsidR="0001503C" w:rsidRPr="0001503C">
              <w:rPr>
                <w:rFonts w:asciiTheme="minorHAnsi" w:eastAsia="Calibri" w:hAnsiTheme="minorHAnsi" w:cstheme="minorHAnsi"/>
                <w:sz w:val="20"/>
                <w:szCs w:val="20"/>
              </w:rPr>
              <w:t>§</w:t>
            </w:r>
            <w:r w:rsidR="0001503C">
              <w:rPr>
                <w:rFonts w:asciiTheme="minorHAnsi" w:eastAsia="Calibri" w:hAnsiTheme="minorHAnsi" w:cstheme="minorHAnsi"/>
                <w:sz w:val="20"/>
                <w:szCs w:val="20"/>
              </w:rPr>
              <w:t xml:space="preserve"> </w:t>
            </w:r>
            <w:r w:rsidRPr="0001503C">
              <w:rPr>
                <w:rFonts w:asciiTheme="minorHAnsi" w:eastAsia="Calibri" w:hAnsiTheme="minorHAnsi" w:cstheme="minorHAnsi"/>
                <w:sz w:val="20"/>
                <w:szCs w:val="20"/>
              </w:rPr>
              <w:t>668.162(c) or the heightened cash monitoring payment method requiring the Department's review of the institution's supporting documentation under 34 CFR</w:t>
            </w:r>
            <w:r w:rsidR="0001503C">
              <w:rPr>
                <w:rFonts w:asciiTheme="minorHAnsi" w:eastAsia="Calibri" w:hAnsiTheme="minorHAnsi" w:cstheme="minorHAnsi"/>
                <w:sz w:val="20"/>
                <w:szCs w:val="20"/>
              </w:rPr>
              <w:t xml:space="preserve"> </w:t>
            </w:r>
            <w:r w:rsidR="0001503C" w:rsidRPr="0001503C">
              <w:rPr>
                <w:rFonts w:asciiTheme="minorHAnsi" w:eastAsia="Calibri" w:hAnsiTheme="minorHAnsi" w:cstheme="minorHAnsi"/>
                <w:sz w:val="20"/>
                <w:szCs w:val="20"/>
              </w:rPr>
              <w:t>§</w:t>
            </w:r>
            <w:r w:rsidRPr="0001503C">
              <w:rPr>
                <w:rFonts w:asciiTheme="minorHAnsi" w:eastAsia="Calibri" w:hAnsiTheme="minorHAnsi" w:cstheme="minorHAnsi"/>
                <w:sz w:val="20"/>
                <w:szCs w:val="20"/>
              </w:rPr>
              <w:t xml:space="preserve"> 668.162(d)(2)?</w:t>
            </w:r>
          </w:p>
        </w:tc>
        <w:tc>
          <w:tcPr>
            <w:tcW w:w="456" w:type="pct"/>
          </w:tcPr>
          <w:p w14:paraId="318FCD39" w14:textId="77777777"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271921269"/>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2B40BD36" w14:textId="74C0C0B2" w:rsidR="000F47ED" w:rsidRPr="0001503C" w:rsidRDefault="00076FA1" w:rsidP="000F47ED">
            <w:pPr>
              <w:widowControl w:val="0"/>
              <w:ind w:left="340" w:hanging="340"/>
              <w:rPr>
                <w:rFonts w:asciiTheme="minorHAnsi" w:eastAsia="MS Gothic" w:hAnsiTheme="minorHAnsi" w:cstheme="minorHAnsi"/>
                <w:sz w:val="20"/>
                <w:szCs w:val="20"/>
              </w:rPr>
            </w:pPr>
            <w:sdt>
              <w:sdtPr>
                <w:rPr>
                  <w:rFonts w:asciiTheme="minorHAnsi" w:eastAsia="MS Gothic" w:hAnsiTheme="minorHAnsi" w:cstheme="minorHAnsi"/>
                  <w:sz w:val="20"/>
                  <w:szCs w:val="20"/>
                </w:rPr>
                <w:id w:val="-169035088"/>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tr w:rsidR="000F47ED" w:rsidRPr="004506DA" w14:paraId="16C30A06" w14:textId="77777777" w:rsidTr="0001503C">
        <w:tc>
          <w:tcPr>
            <w:tcW w:w="4544" w:type="pct"/>
          </w:tcPr>
          <w:p w14:paraId="68BBEE1F" w14:textId="46B0DB28" w:rsidR="000F47ED" w:rsidRPr="0001503C" w:rsidRDefault="000F47ED" w:rsidP="000F47ED">
            <w:pPr>
              <w:rPr>
                <w:rFonts w:asciiTheme="minorHAnsi" w:eastAsia="Calibri" w:hAnsiTheme="minorHAnsi" w:cstheme="minorHAnsi"/>
                <w:b/>
                <w:bCs/>
                <w:sz w:val="20"/>
                <w:szCs w:val="20"/>
              </w:rPr>
            </w:pPr>
            <w:r w:rsidRPr="0001503C">
              <w:rPr>
                <w:rFonts w:asciiTheme="minorHAnsi" w:eastAsia="Calibri" w:hAnsiTheme="minorHAnsi" w:cstheme="minorHAnsi"/>
                <w:sz w:val="20"/>
                <w:szCs w:val="20"/>
              </w:rPr>
              <w:t xml:space="preserve">Has the Department of Education notified ACCJC that it has initiated an emergency action against an institution, in accordance with section 487(c)(1)(G) of the HEA, or an action to limit, suspend, or terminate an institution participating in any </w:t>
            </w:r>
            <w:r w:rsidR="00704A63">
              <w:rPr>
                <w:rFonts w:asciiTheme="minorHAnsi" w:eastAsia="Calibri" w:hAnsiTheme="minorHAnsi" w:cstheme="minorHAnsi"/>
                <w:sz w:val="20"/>
                <w:szCs w:val="20"/>
              </w:rPr>
              <w:t>T</w:t>
            </w:r>
            <w:r w:rsidRPr="0001503C">
              <w:rPr>
                <w:rFonts w:asciiTheme="minorHAnsi" w:eastAsia="Calibri" w:hAnsiTheme="minorHAnsi" w:cstheme="minorHAnsi"/>
                <w:sz w:val="20"/>
                <w:szCs w:val="20"/>
              </w:rPr>
              <w:t>itle IV, HEA program, in accordance with section 487(c)(1)(F) of the HEA?</w:t>
            </w:r>
          </w:p>
        </w:tc>
        <w:tc>
          <w:tcPr>
            <w:tcW w:w="456" w:type="pct"/>
          </w:tcPr>
          <w:p w14:paraId="5CD526B1" w14:textId="77777777"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683933521"/>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0CAAFD45" w14:textId="783A2B4A" w:rsidR="000F47ED" w:rsidRPr="0001503C" w:rsidRDefault="00076FA1" w:rsidP="000F47ED">
            <w:pPr>
              <w:widowControl w:val="0"/>
              <w:ind w:left="340" w:hanging="340"/>
              <w:rPr>
                <w:rFonts w:asciiTheme="minorHAnsi" w:eastAsia="MS Gothic" w:hAnsiTheme="minorHAnsi" w:cstheme="minorHAnsi"/>
                <w:sz w:val="20"/>
                <w:szCs w:val="20"/>
              </w:rPr>
            </w:pPr>
            <w:sdt>
              <w:sdtPr>
                <w:rPr>
                  <w:rFonts w:asciiTheme="minorHAnsi" w:eastAsia="MS Gothic" w:hAnsiTheme="minorHAnsi" w:cstheme="minorHAnsi"/>
                  <w:sz w:val="20"/>
                  <w:szCs w:val="20"/>
                </w:rPr>
                <w:id w:val="832418442"/>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tr w:rsidR="000F47ED" w:rsidRPr="004506DA" w14:paraId="55FBEF29" w14:textId="77777777" w:rsidTr="0001503C">
        <w:tc>
          <w:tcPr>
            <w:tcW w:w="4544" w:type="pct"/>
          </w:tcPr>
          <w:p w14:paraId="2BE8555D" w14:textId="65AC18FE" w:rsidR="000F47ED" w:rsidRPr="0001503C" w:rsidRDefault="000F47ED" w:rsidP="000F47ED">
            <w:pPr>
              <w:rPr>
                <w:rFonts w:asciiTheme="minorHAnsi" w:eastAsia="Calibri" w:hAnsiTheme="minorHAnsi" w:cstheme="minorHAnsi"/>
                <w:b/>
                <w:bCs/>
                <w:sz w:val="20"/>
                <w:szCs w:val="20"/>
              </w:rPr>
            </w:pPr>
            <w:r w:rsidRPr="0001503C">
              <w:rPr>
                <w:rFonts w:asciiTheme="minorHAnsi" w:eastAsia="Calibri" w:hAnsiTheme="minorHAnsi" w:cstheme="minorHAnsi"/>
                <w:sz w:val="20"/>
                <w:szCs w:val="20"/>
              </w:rPr>
              <w:t>Has ACCJC acted to withdraw the accreditation or preaccreditation of the institution.</w:t>
            </w:r>
          </w:p>
        </w:tc>
        <w:tc>
          <w:tcPr>
            <w:tcW w:w="456" w:type="pct"/>
          </w:tcPr>
          <w:p w14:paraId="6F2B17D2" w14:textId="77777777"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470369433"/>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0B1F974C" w14:textId="633DC76D" w:rsidR="000F47ED" w:rsidRPr="0001503C" w:rsidRDefault="00076FA1" w:rsidP="000F47ED">
            <w:pPr>
              <w:widowControl w:val="0"/>
              <w:ind w:left="340" w:hanging="340"/>
              <w:rPr>
                <w:rFonts w:asciiTheme="minorHAnsi" w:eastAsia="MS Gothic" w:hAnsiTheme="minorHAnsi" w:cstheme="minorHAnsi"/>
                <w:sz w:val="20"/>
                <w:szCs w:val="20"/>
              </w:rPr>
            </w:pPr>
            <w:sdt>
              <w:sdtPr>
                <w:rPr>
                  <w:rFonts w:asciiTheme="minorHAnsi" w:eastAsia="MS Gothic" w:hAnsiTheme="minorHAnsi" w:cstheme="minorHAnsi"/>
                  <w:sz w:val="20"/>
                  <w:szCs w:val="20"/>
                </w:rPr>
                <w:id w:val="-704099115"/>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tr w:rsidR="000F47ED" w:rsidRPr="004506DA" w14:paraId="15F2EF40" w14:textId="77777777" w:rsidTr="0001503C">
        <w:tc>
          <w:tcPr>
            <w:tcW w:w="4544" w:type="pct"/>
          </w:tcPr>
          <w:p w14:paraId="3423C1AF" w14:textId="0F9687BE" w:rsidR="000F47ED" w:rsidRPr="0001503C" w:rsidRDefault="000F47ED" w:rsidP="000F47ED">
            <w:pPr>
              <w:rPr>
                <w:rFonts w:asciiTheme="minorHAnsi" w:eastAsia="Calibri" w:hAnsiTheme="minorHAnsi" w:cstheme="minorHAnsi"/>
                <w:b/>
                <w:bCs/>
                <w:sz w:val="20"/>
                <w:szCs w:val="20"/>
              </w:rPr>
            </w:pPr>
            <w:r w:rsidRPr="0001503C">
              <w:rPr>
                <w:rFonts w:asciiTheme="minorHAnsi" w:eastAsia="Calibri" w:hAnsiTheme="minorHAnsi" w:cstheme="minorHAnsi"/>
                <w:sz w:val="20"/>
                <w:szCs w:val="20"/>
              </w:rPr>
              <w:t>Has the institution notifie</w:t>
            </w:r>
            <w:r w:rsidR="0001503C">
              <w:rPr>
                <w:rFonts w:asciiTheme="minorHAnsi" w:eastAsia="Calibri" w:hAnsiTheme="minorHAnsi" w:cstheme="minorHAnsi"/>
                <w:sz w:val="20"/>
                <w:szCs w:val="20"/>
              </w:rPr>
              <w:t>d</w:t>
            </w:r>
            <w:r w:rsidRPr="0001503C">
              <w:rPr>
                <w:rFonts w:asciiTheme="minorHAnsi" w:eastAsia="Calibri" w:hAnsiTheme="minorHAnsi" w:cstheme="minorHAnsi"/>
                <w:sz w:val="20"/>
                <w:szCs w:val="20"/>
              </w:rPr>
              <w:t xml:space="preserve"> ACCJC that it intends to cease operations entirely or close a location that provides one hundred percent of at least one program, including if the location is being moved and is considered by the Department to be a closed school?</w:t>
            </w:r>
          </w:p>
        </w:tc>
        <w:tc>
          <w:tcPr>
            <w:tcW w:w="456" w:type="pct"/>
          </w:tcPr>
          <w:p w14:paraId="09E8BC80" w14:textId="77777777"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702614006"/>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5ACA1776" w14:textId="4094286E" w:rsidR="000F47ED" w:rsidRPr="0001503C" w:rsidRDefault="00076FA1" w:rsidP="000F47ED">
            <w:pPr>
              <w:widowControl w:val="0"/>
              <w:ind w:left="340" w:hanging="340"/>
              <w:rPr>
                <w:rFonts w:asciiTheme="minorHAnsi" w:eastAsia="MS Gothic" w:hAnsiTheme="minorHAnsi" w:cstheme="minorHAnsi"/>
                <w:sz w:val="20"/>
                <w:szCs w:val="20"/>
              </w:rPr>
            </w:pPr>
            <w:sdt>
              <w:sdtPr>
                <w:rPr>
                  <w:rFonts w:asciiTheme="minorHAnsi" w:eastAsia="MS Gothic" w:hAnsiTheme="minorHAnsi" w:cstheme="minorHAnsi"/>
                  <w:sz w:val="20"/>
                  <w:szCs w:val="20"/>
                </w:rPr>
                <w:id w:val="-1070805252"/>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tr w:rsidR="000F47ED" w:rsidRPr="004506DA" w14:paraId="4085D295" w14:textId="77777777" w:rsidTr="0001503C">
        <w:tc>
          <w:tcPr>
            <w:tcW w:w="4544" w:type="pct"/>
          </w:tcPr>
          <w:p w14:paraId="400B3367" w14:textId="04818369" w:rsidR="000F47ED" w:rsidRPr="0001503C" w:rsidRDefault="000F47ED" w:rsidP="000F47ED">
            <w:pPr>
              <w:rPr>
                <w:rFonts w:asciiTheme="minorHAnsi" w:eastAsia="Calibri" w:hAnsiTheme="minorHAnsi" w:cstheme="minorHAnsi"/>
                <w:b/>
                <w:bCs/>
                <w:sz w:val="20"/>
                <w:szCs w:val="20"/>
              </w:rPr>
            </w:pPr>
            <w:r w:rsidRPr="0001503C">
              <w:rPr>
                <w:rFonts w:asciiTheme="minorHAnsi" w:eastAsia="Calibri" w:hAnsiTheme="minorHAnsi" w:cstheme="minorHAnsi"/>
                <w:sz w:val="20"/>
                <w:szCs w:val="20"/>
              </w:rPr>
              <w:t xml:space="preserve">Has a </w:t>
            </w:r>
            <w:r w:rsidR="0001503C">
              <w:rPr>
                <w:rFonts w:asciiTheme="minorHAnsi" w:eastAsia="Calibri" w:hAnsiTheme="minorHAnsi" w:cstheme="minorHAnsi"/>
                <w:sz w:val="20"/>
                <w:szCs w:val="20"/>
              </w:rPr>
              <w:t>s</w:t>
            </w:r>
            <w:r w:rsidRPr="0001503C">
              <w:rPr>
                <w:rFonts w:asciiTheme="minorHAnsi" w:eastAsia="Calibri" w:hAnsiTheme="minorHAnsi" w:cstheme="minorHAnsi"/>
                <w:sz w:val="20"/>
                <w:szCs w:val="20"/>
              </w:rPr>
              <w:t>tate licensing or authorizing agency notified ACCJC that an institution's license or legal authorization to provide an educational program has been or will be revoked?</w:t>
            </w:r>
          </w:p>
        </w:tc>
        <w:tc>
          <w:tcPr>
            <w:tcW w:w="456" w:type="pct"/>
          </w:tcPr>
          <w:p w14:paraId="66891A3A" w14:textId="77777777"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2123500536"/>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08BFC8C5" w14:textId="34C01C9B" w:rsidR="000F47ED" w:rsidRPr="0001503C" w:rsidRDefault="00076FA1" w:rsidP="000F47ED">
            <w:pPr>
              <w:widowControl w:val="0"/>
              <w:ind w:left="340" w:hanging="340"/>
              <w:rPr>
                <w:rFonts w:asciiTheme="minorHAnsi" w:eastAsia="MS Gothic" w:hAnsiTheme="minorHAnsi" w:cstheme="minorHAnsi"/>
                <w:sz w:val="20"/>
                <w:szCs w:val="20"/>
              </w:rPr>
            </w:pPr>
            <w:sdt>
              <w:sdtPr>
                <w:rPr>
                  <w:rFonts w:asciiTheme="minorHAnsi" w:eastAsia="MS Gothic" w:hAnsiTheme="minorHAnsi" w:cstheme="minorHAnsi"/>
                  <w:sz w:val="20"/>
                  <w:szCs w:val="20"/>
                </w:rPr>
                <w:id w:val="1931315541"/>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tr w:rsidR="000F47ED" w:rsidRPr="004506DA" w14:paraId="7636C00C" w14:textId="77777777" w:rsidTr="0001503C">
        <w:tc>
          <w:tcPr>
            <w:tcW w:w="4544" w:type="pct"/>
          </w:tcPr>
          <w:p w14:paraId="5FFE7B04" w14:textId="51C310B2" w:rsidR="000F47ED" w:rsidRPr="0001503C" w:rsidRDefault="000F47ED" w:rsidP="000F47ED">
            <w:pPr>
              <w:rPr>
                <w:rFonts w:asciiTheme="minorHAnsi" w:eastAsia="Calibri" w:hAnsiTheme="minorHAnsi" w:cstheme="minorHAnsi"/>
                <w:b/>
                <w:bCs/>
                <w:sz w:val="20"/>
                <w:szCs w:val="20"/>
              </w:rPr>
            </w:pPr>
            <w:r w:rsidRPr="0001503C">
              <w:rPr>
                <w:rFonts w:asciiTheme="minorHAnsi" w:eastAsia="Calibri" w:hAnsiTheme="minorHAnsi" w:cstheme="minorHAnsi"/>
                <w:sz w:val="20"/>
                <w:szCs w:val="20"/>
              </w:rPr>
              <w:t>Is the institution under investigation, subject to an action, or being prosecuted for an issue related to academic quality, misrepresentation, fraud, or other severe matters by a law enforcement agency?</w:t>
            </w:r>
          </w:p>
        </w:tc>
        <w:tc>
          <w:tcPr>
            <w:tcW w:w="456" w:type="pct"/>
          </w:tcPr>
          <w:p w14:paraId="2EACF63A" w14:textId="77777777"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420258483"/>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40C239F8" w14:textId="3C6EDE32" w:rsidR="000F47ED" w:rsidRPr="0001503C" w:rsidRDefault="00076FA1" w:rsidP="000F47ED">
            <w:pPr>
              <w:widowControl w:val="0"/>
              <w:ind w:left="340" w:hanging="340"/>
              <w:rPr>
                <w:rFonts w:asciiTheme="minorHAnsi" w:eastAsia="MS Gothic" w:hAnsiTheme="minorHAnsi" w:cstheme="minorHAnsi"/>
                <w:sz w:val="20"/>
                <w:szCs w:val="20"/>
              </w:rPr>
            </w:pPr>
            <w:sdt>
              <w:sdtPr>
                <w:rPr>
                  <w:rFonts w:asciiTheme="minorHAnsi" w:eastAsia="MS Gothic" w:hAnsiTheme="minorHAnsi" w:cstheme="minorHAnsi"/>
                  <w:sz w:val="20"/>
                  <w:szCs w:val="20"/>
                </w:rPr>
                <w:id w:val="-1704017318"/>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tr w:rsidR="00627FB3" w:rsidRPr="004506DA" w14:paraId="473FC107" w14:textId="77777777" w:rsidTr="0062635D">
        <w:tc>
          <w:tcPr>
            <w:tcW w:w="5000" w:type="pct"/>
            <w:gridSpan w:val="2"/>
            <w:shd w:val="clear" w:color="auto" w:fill="D9E2F3" w:themeFill="accent1" w:themeFillTint="33"/>
          </w:tcPr>
          <w:p w14:paraId="49C3C970" w14:textId="77777777" w:rsidR="00627FB3" w:rsidRPr="004506DA" w:rsidRDefault="00627FB3" w:rsidP="00627FB3">
            <w:pPr>
              <w:rPr>
                <w:rFonts w:eastAsia="Calibri" w:cs="Times New Roman"/>
                <w:b/>
                <w:bCs/>
                <w:szCs w:val="24"/>
              </w:rPr>
            </w:pPr>
            <w:r>
              <w:rPr>
                <w:rFonts w:eastAsia="Calibri" w:cs="Times New Roman"/>
                <w:b/>
                <w:bCs/>
                <w:szCs w:val="24"/>
              </w:rPr>
              <w:t xml:space="preserve">2. </w:t>
            </w:r>
            <w:r w:rsidRPr="004506DA">
              <w:rPr>
                <w:rFonts w:eastAsia="Calibri" w:cs="Times New Roman"/>
                <w:b/>
                <w:bCs/>
                <w:szCs w:val="24"/>
              </w:rPr>
              <w:t xml:space="preserve">General Criteria Required for All Teach-Out Agreements </w:t>
            </w:r>
          </w:p>
          <w:p w14:paraId="7713A221" w14:textId="77777777" w:rsidR="00627FB3" w:rsidRPr="004506DA" w:rsidRDefault="00627FB3" w:rsidP="00627FB3">
            <w:pPr>
              <w:rPr>
                <w:rFonts w:eastAsia="Calibri" w:cs="Times New Roman"/>
                <w:b/>
                <w:bCs/>
                <w:sz w:val="20"/>
                <w:szCs w:val="20"/>
              </w:rPr>
            </w:pPr>
            <w:r w:rsidRPr="0001503C">
              <w:rPr>
                <w:rFonts w:eastAsia="Calibri" w:cs="Times New Roman"/>
                <w:i/>
                <w:iCs/>
                <w:sz w:val="20"/>
                <w:szCs w:val="20"/>
              </w:rPr>
              <w:t>Note: A “No” in any category will prohibit the Commission from approving the teach-out agreement.</w:t>
            </w:r>
          </w:p>
        </w:tc>
      </w:tr>
      <w:tr w:rsidR="00627FB3" w:rsidRPr="004506DA" w14:paraId="7F452A60" w14:textId="77777777" w:rsidTr="0062635D">
        <w:tc>
          <w:tcPr>
            <w:tcW w:w="5000" w:type="pct"/>
            <w:gridSpan w:val="2"/>
          </w:tcPr>
          <w:p w14:paraId="73DCF8E4" w14:textId="77777777" w:rsidR="00627FB3" w:rsidRPr="004506DA" w:rsidRDefault="00627FB3" w:rsidP="00627FB3">
            <w:pPr>
              <w:rPr>
                <w:rFonts w:eastAsia="Calibri" w:cs="Times New Roman"/>
                <w:b/>
                <w:bCs/>
                <w:sz w:val="20"/>
                <w:szCs w:val="20"/>
              </w:rPr>
            </w:pPr>
            <w:r w:rsidRPr="004506DA">
              <w:rPr>
                <w:rFonts w:eastAsia="Calibri" w:cs="Times New Roman"/>
                <w:b/>
                <w:bCs/>
                <w:sz w:val="20"/>
                <w:szCs w:val="20"/>
              </w:rPr>
              <w:t xml:space="preserve">Does the Teach-Out Agreement provide for the equitable treatment of students by ensuring that the receiving institution: </w:t>
            </w:r>
          </w:p>
        </w:tc>
      </w:tr>
      <w:tr w:rsidR="000F47ED" w:rsidRPr="004506DA" w14:paraId="7CF77E64" w14:textId="77777777" w:rsidTr="0001503C">
        <w:trPr>
          <w:trHeight w:val="1736"/>
        </w:trPr>
        <w:tc>
          <w:tcPr>
            <w:tcW w:w="4544" w:type="pct"/>
          </w:tcPr>
          <w:p w14:paraId="1B77A647" w14:textId="399AC3E9" w:rsidR="000F47ED" w:rsidRPr="0001503C" w:rsidRDefault="000F47ED" w:rsidP="000F47ED">
            <w:pPr>
              <w:widowControl w:val="0"/>
              <w:numPr>
                <w:ilvl w:val="0"/>
                <w:numId w:val="8"/>
              </w:numPr>
              <w:ind w:left="540" w:hanging="360"/>
              <w:rPr>
                <w:rFonts w:asciiTheme="minorHAnsi" w:eastAsia="Calibri" w:hAnsiTheme="minorHAnsi" w:cstheme="minorHAnsi"/>
                <w:sz w:val="20"/>
                <w:szCs w:val="20"/>
              </w:rPr>
            </w:pPr>
            <w:r w:rsidRPr="0001503C">
              <w:rPr>
                <w:rFonts w:asciiTheme="minorHAnsi" w:eastAsia="Calibri" w:hAnsiTheme="minorHAnsi" w:cstheme="minorHAnsi"/>
                <w:sz w:val="20"/>
                <w:szCs w:val="20"/>
              </w:rPr>
              <w:t>has the necessary experience, resources, and support services to provide an educational program that is of acceptable quality and reasonably similar in content</w:t>
            </w:r>
            <w:r w:rsidR="002B684D">
              <w:rPr>
                <w:rFonts w:asciiTheme="minorHAnsi" w:eastAsia="Calibri" w:hAnsiTheme="minorHAnsi" w:cstheme="minorHAnsi"/>
                <w:sz w:val="20"/>
                <w:szCs w:val="20"/>
              </w:rPr>
              <w:t xml:space="preserve"> (and </w:t>
            </w:r>
            <w:r w:rsidR="00425F18" w:rsidRPr="00425F18">
              <w:rPr>
                <w:rFonts w:asciiTheme="minorHAnsi" w:eastAsia="Calibri" w:hAnsiTheme="minorHAnsi" w:cstheme="minorHAnsi"/>
                <w:sz w:val="20"/>
                <w:szCs w:val="20"/>
              </w:rPr>
              <w:t>would meet curricular requirements for professional licensure or certification, if applicable</w:t>
            </w:r>
            <w:r w:rsidR="002B684D">
              <w:rPr>
                <w:rFonts w:asciiTheme="minorHAnsi" w:eastAsia="Calibri" w:hAnsiTheme="minorHAnsi" w:cstheme="minorHAnsi"/>
                <w:sz w:val="20"/>
                <w:szCs w:val="20"/>
              </w:rPr>
              <w:t>)</w:t>
            </w:r>
            <w:r w:rsidRPr="0001503C">
              <w:rPr>
                <w:rFonts w:asciiTheme="minorHAnsi" w:eastAsia="Calibri" w:hAnsiTheme="minorHAnsi" w:cstheme="minorHAnsi"/>
                <w:sz w:val="20"/>
                <w:szCs w:val="20"/>
              </w:rPr>
              <w:t>, delivery modality, and scheduling to that provided by the institution or location closing?</w:t>
            </w:r>
          </w:p>
          <w:p w14:paraId="5832BFF1" w14:textId="77777777" w:rsidR="000F47ED" w:rsidRPr="0001503C" w:rsidRDefault="000F47ED" w:rsidP="000F47ED">
            <w:pPr>
              <w:widowControl w:val="0"/>
              <w:ind w:left="540" w:hanging="360"/>
              <w:rPr>
                <w:rFonts w:asciiTheme="minorHAnsi" w:eastAsia="Calibri" w:hAnsiTheme="minorHAnsi" w:cstheme="minorHAnsi"/>
                <w:sz w:val="12"/>
                <w:szCs w:val="20"/>
              </w:rPr>
            </w:pPr>
          </w:p>
          <w:p w14:paraId="2DFA6BB3" w14:textId="4048FD30" w:rsidR="000F47ED" w:rsidRPr="0001503C" w:rsidRDefault="000F47ED" w:rsidP="000F47ED">
            <w:pPr>
              <w:widowControl w:val="0"/>
              <w:ind w:left="540"/>
              <w:rPr>
                <w:rFonts w:asciiTheme="minorHAnsi" w:eastAsia="Calibri" w:hAnsiTheme="minorHAnsi" w:cstheme="minorHAnsi"/>
                <w:sz w:val="20"/>
                <w:szCs w:val="20"/>
              </w:rPr>
            </w:pPr>
            <w:r w:rsidRPr="0001503C">
              <w:rPr>
                <w:rFonts w:asciiTheme="minorHAnsi" w:eastAsia="Calibri" w:hAnsiTheme="minorHAnsi" w:cstheme="minorHAnsi"/>
                <w:b/>
                <w:bCs/>
                <w:sz w:val="20"/>
                <w:szCs w:val="20"/>
              </w:rPr>
              <w:t xml:space="preserve">Note: </w:t>
            </w:r>
            <w:r w:rsidRPr="0001503C">
              <w:rPr>
                <w:rFonts w:asciiTheme="minorHAnsi" w:eastAsia="Calibri" w:hAnsiTheme="minorHAnsi" w:cstheme="minorHAnsi"/>
                <w:sz w:val="20"/>
                <w:szCs w:val="20"/>
              </w:rPr>
              <w:t>while an option by an alternate method of delivery may be made available to students, this option is not sufficient unless an option to complete in the same method of delivery as the original educational program has also been provided.</w:t>
            </w:r>
          </w:p>
        </w:tc>
        <w:tc>
          <w:tcPr>
            <w:tcW w:w="456" w:type="pct"/>
          </w:tcPr>
          <w:p w14:paraId="5D81EE4E" w14:textId="77777777"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469774257"/>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2A46E622" w14:textId="5CA01634"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896241251"/>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tr w:rsidR="000F47ED" w:rsidRPr="004506DA" w14:paraId="2F1050C7" w14:textId="77777777" w:rsidTr="0001503C">
        <w:trPr>
          <w:trHeight w:val="521"/>
        </w:trPr>
        <w:tc>
          <w:tcPr>
            <w:tcW w:w="4544" w:type="pct"/>
          </w:tcPr>
          <w:p w14:paraId="3DB8AC94" w14:textId="280BA1F8" w:rsidR="000F47ED" w:rsidRPr="0001503C" w:rsidRDefault="000F47ED" w:rsidP="000F47ED">
            <w:pPr>
              <w:widowControl w:val="0"/>
              <w:numPr>
                <w:ilvl w:val="0"/>
                <w:numId w:val="8"/>
              </w:numPr>
              <w:ind w:left="540" w:hanging="360"/>
              <w:rPr>
                <w:rFonts w:asciiTheme="minorHAnsi" w:eastAsia="Calibri" w:hAnsiTheme="minorHAnsi" w:cstheme="minorHAnsi"/>
                <w:sz w:val="20"/>
                <w:szCs w:val="20"/>
              </w:rPr>
            </w:pPr>
            <w:r w:rsidRPr="0001503C">
              <w:rPr>
                <w:rFonts w:asciiTheme="minorHAnsi" w:eastAsia="Calibri" w:hAnsiTheme="minorHAnsi" w:cstheme="minorHAnsi"/>
                <w:sz w:val="20"/>
                <w:szCs w:val="20"/>
              </w:rPr>
              <w:t>has the capacity to carry out its mission and meet all obligations to existing students?</w:t>
            </w:r>
          </w:p>
        </w:tc>
        <w:tc>
          <w:tcPr>
            <w:tcW w:w="456" w:type="pct"/>
          </w:tcPr>
          <w:p w14:paraId="04CD4A0E" w14:textId="77777777"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374920618"/>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486A3F6F" w14:textId="529EAB7D"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532389191"/>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tr w:rsidR="000F47ED" w:rsidRPr="004506DA" w14:paraId="149A5F25" w14:textId="77777777" w:rsidTr="0001503C">
        <w:tc>
          <w:tcPr>
            <w:tcW w:w="4544" w:type="pct"/>
          </w:tcPr>
          <w:p w14:paraId="1FF7B8C3" w14:textId="61516C07" w:rsidR="000F47ED" w:rsidRPr="0001503C" w:rsidRDefault="000F47ED" w:rsidP="000F47ED">
            <w:pPr>
              <w:widowControl w:val="0"/>
              <w:numPr>
                <w:ilvl w:val="0"/>
                <w:numId w:val="8"/>
              </w:numPr>
              <w:ind w:left="540" w:hanging="360"/>
              <w:rPr>
                <w:rFonts w:asciiTheme="minorHAnsi" w:eastAsia="Calibri" w:hAnsiTheme="minorHAnsi" w:cstheme="minorHAnsi"/>
                <w:sz w:val="20"/>
                <w:szCs w:val="20"/>
              </w:rPr>
            </w:pPr>
            <w:r w:rsidRPr="0001503C">
              <w:rPr>
                <w:rFonts w:asciiTheme="minorHAnsi" w:eastAsia="Calibri" w:hAnsiTheme="minorHAnsi" w:cstheme="minorHAnsi"/>
                <w:sz w:val="20"/>
                <w:szCs w:val="20"/>
              </w:rPr>
              <w:t>demonstrates that it can provide students access to the program and services without requiring them to move or travel for substantial distances or durations?</w:t>
            </w:r>
          </w:p>
        </w:tc>
        <w:tc>
          <w:tcPr>
            <w:tcW w:w="456" w:type="pct"/>
          </w:tcPr>
          <w:p w14:paraId="65A44E0C" w14:textId="77777777"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2129201724"/>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7A39C07C" w14:textId="6B531D50"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323747864"/>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tr w:rsidR="000F47ED" w:rsidRPr="004506DA" w14:paraId="40DC105C" w14:textId="77777777" w:rsidTr="0001503C">
        <w:tc>
          <w:tcPr>
            <w:tcW w:w="4544" w:type="pct"/>
          </w:tcPr>
          <w:p w14:paraId="0140B8EE" w14:textId="0BAA2695" w:rsidR="000F47ED" w:rsidRPr="0001503C" w:rsidRDefault="000F47ED" w:rsidP="000F47ED">
            <w:pPr>
              <w:widowControl w:val="0"/>
              <w:numPr>
                <w:ilvl w:val="0"/>
                <w:numId w:val="8"/>
              </w:numPr>
              <w:ind w:left="540" w:hanging="360"/>
              <w:rPr>
                <w:rFonts w:asciiTheme="minorHAnsi" w:eastAsia="Calibri" w:hAnsiTheme="minorHAnsi" w:cstheme="minorHAnsi"/>
                <w:sz w:val="20"/>
                <w:szCs w:val="20"/>
              </w:rPr>
            </w:pPr>
            <w:r w:rsidRPr="0001503C">
              <w:rPr>
                <w:rFonts w:asciiTheme="minorHAnsi" w:eastAsia="Calibri" w:hAnsiTheme="minorHAnsi" w:cstheme="minorHAnsi"/>
                <w:sz w:val="20"/>
                <w:szCs w:val="20"/>
              </w:rPr>
              <w:t>demonstrates that it will provide students with information about additional charges, if any?</w:t>
            </w:r>
          </w:p>
        </w:tc>
        <w:tc>
          <w:tcPr>
            <w:tcW w:w="456" w:type="pct"/>
          </w:tcPr>
          <w:p w14:paraId="5C9408C3" w14:textId="77777777"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2050291723"/>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352AAA82" w14:textId="36210518"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2043512867"/>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tr w:rsidR="00627FB3" w:rsidRPr="004506DA" w14:paraId="74555CB8" w14:textId="77777777" w:rsidTr="0062635D">
        <w:tc>
          <w:tcPr>
            <w:tcW w:w="5000" w:type="pct"/>
            <w:gridSpan w:val="2"/>
            <w:shd w:val="clear" w:color="auto" w:fill="D9E2F3" w:themeFill="accent1" w:themeFillTint="33"/>
          </w:tcPr>
          <w:p w14:paraId="556C746C" w14:textId="77777777" w:rsidR="00627FB3" w:rsidRPr="004506DA" w:rsidRDefault="00627FB3" w:rsidP="00627FB3">
            <w:pPr>
              <w:rPr>
                <w:rFonts w:eastAsia="Calibri" w:cs="Times New Roman"/>
                <w:b/>
                <w:bCs/>
                <w:szCs w:val="24"/>
              </w:rPr>
            </w:pPr>
            <w:r w:rsidRPr="004506DA">
              <w:rPr>
                <w:rFonts w:eastAsia="Calibri" w:cs="Times New Roman"/>
                <w:b/>
                <w:bCs/>
                <w:szCs w:val="24"/>
              </w:rPr>
              <w:lastRenderedPageBreak/>
              <w:t>Additional Requirements for Teach-Out Agreements for Closing Institutions</w:t>
            </w:r>
          </w:p>
          <w:p w14:paraId="3CBB310C" w14:textId="77777777" w:rsidR="00627FB3" w:rsidRPr="004506DA" w:rsidRDefault="00627FB3" w:rsidP="00627FB3">
            <w:pPr>
              <w:rPr>
                <w:rFonts w:eastAsia="Calibri" w:cs="Times New Roman"/>
                <w:i/>
                <w:iCs/>
                <w:sz w:val="20"/>
                <w:szCs w:val="20"/>
              </w:rPr>
            </w:pPr>
            <w:r w:rsidRPr="0001503C">
              <w:rPr>
                <w:rFonts w:eastAsia="Calibri" w:cs="Times New Roman"/>
                <w:i/>
                <w:iCs/>
                <w:sz w:val="20"/>
                <w:szCs w:val="20"/>
              </w:rPr>
              <w:t xml:space="preserve">Note: a “No” in any category will prohibit the Commission from approving the teach-out agreement. </w:t>
            </w:r>
          </w:p>
        </w:tc>
      </w:tr>
      <w:tr w:rsidR="00627FB3" w:rsidRPr="004506DA" w14:paraId="7A818FDD" w14:textId="77777777" w:rsidTr="0062635D">
        <w:tc>
          <w:tcPr>
            <w:tcW w:w="5000" w:type="pct"/>
            <w:gridSpan w:val="2"/>
          </w:tcPr>
          <w:p w14:paraId="09D2E400" w14:textId="77777777" w:rsidR="00627FB3" w:rsidRPr="0001503C" w:rsidRDefault="00627FB3" w:rsidP="00627FB3">
            <w:pPr>
              <w:rPr>
                <w:rFonts w:asciiTheme="minorHAnsi" w:eastAsia="Calibri" w:hAnsiTheme="minorHAnsi" w:cstheme="minorHAnsi"/>
                <w:b/>
                <w:bCs/>
                <w:sz w:val="20"/>
                <w:szCs w:val="20"/>
              </w:rPr>
            </w:pPr>
            <w:r w:rsidRPr="0001503C">
              <w:rPr>
                <w:rFonts w:asciiTheme="minorHAnsi" w:eastAsia="Calibri" w:hAnsiTheme="minorHAnsi" w:cstheme="minorHAnsi"/>
                <w:b/>
                <w:bCs/>
                <w:sz w:val="20"/>
                <w:szCs w:val="20"/>
              </w:rPr>
              <w:t>Does the Teach-Out Agreement include:</w:t>
            </w:r>
          </w:p>
        </w:tc>
      </w:tr>
      <w:tr w:rsidR="000F47ED" w:rsidRPr="004506DA" w14:paraId="20C10C69" w14:textId="77777777" w:rsidTr="0001503C">
        <w:tc>
          <w:tcPr>
            <w:tcW w:w="4544" w:type="pct"/>
          </w:tcPr>
          <w:p w14:paraId="57791682" w14:textId="42CD5C1D" w:rsidR="000F47ED" w:rsidRPr="0001503C" w:rsidRDefault="000F47ED" w:rsidP="000F47ED">
            <w:pPr>
              <w:widowControl w:val="0"/>
              <w:numPr>
                <w:ilvl w:val="0"/>
                <w:numId w:val="12"/>
              </w:numPr>
              <w:ind w:left="520" w:hanging="340"/>
              <w:rPr>
                <w:rFonts w:asciiTheme="minorHAnsi" w:eastAsia="Calibri" w:hAnsiTheme="minorHAnsi" w:cstheme="minorHAnsi"/>
                <w:sz w:val="20"/>
                <w:szCs w:val="20"/>
              </w:rPr>
            </w:pPr>
            <w:r w:rsidRPr="0001503C">
              <w:rPr>
                <w:rFonts w:asciiTheme="minorHAnsi" w:eastAsia="Calibri" w:hAnsiTheme="minorHAnsi" w:cstheme="minorHAnsi"/>
                <w:sz w:val="20"/>
                <w:szCs w:val="20"/>
              </w:rPr>
              <w:t xml:space="preserve">a complete list </w:t>
            </w:r>
            <w:r w:rsidR="002B0B38" w:rsidRPr="0001503C">
              <w:rPr>
                <w:rFonts w:asciiTheme="minorHAnsi" w:eastAsia="Calibri" w:hAnsiTheme="minorHAnsi" w:cstheme="minorHAnsi"/>
                <w:sz w:val="20"/>
                <w:szCs w:val="20"/>
              </w:rPr>
              <w:t xml:space="preserve">(including names) </w:t>
            </w:r>
            <w:r w:rsidRPr="0001503C">
              <w:rPr>
                <w:rFonts w:asciiTheme="minorHAnsi" w:eastAsia="Calibri" w:hAnsiTheme="minorHAnsi" w:cstheme="minorHAnsi"/>
                <w:sz w:val="20"/>
                <w:szCs w:val="20"/>
              </w:rPr>
              <w:t>of students currently enrolled in each program at the institution and the program requirements the student has completed?</w:t>
            </w:r>
          </w:p>
        </w:tc>
        <w:tc>
          <w:tcPr>
            <w:tcW w:w="456" w:type="pct"/>
          </w:tcPr>
          <w:p w14:paraId="531E7C2C" w14:textId="77777777"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690299210"/>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3F83076F" w14:textId="538E7B20"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554273274"/>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tr w:rsidR="000F47ED" w:rsidRPr="004506DA" w14:paraId="4207F1D1" w14:textId="77777777" w:rsidTr="0001503C">
        <w:tc>
          <w:tcPr>
            <w:tcW w:w="4544" w:type="pct"/>
          </w:tcPr>
          <w:p w14:paraId="2905DEE1" w14:textId="77777777" w:rsidR="000F47ED" w:rsidRPr="0001503C" w:rsidRDefault="000F47ED" w:rsidP="000F47ED">
            <w:pPr>
              <w:widowControl w:val="0"/>
              <w:numPr>
                <w:ilvl w:val="0"/>
                <w:numId w:val="12"/>
              </w:numPr>
              <w:ind w:left="520" w:hanging="340"/>
              <w:rPr>
                <w:rFonts w:asciiTheme="minorHAnsi" w:eastAsia="Calibri" w:hAnsiTheme="minorHAnsi" w:cstheme="minorHAnsi"/>
                <w:sz w:val="20"/>
                <w:szCs w:val="20"/>
              </w:rPr>
            </w:pPr>
            <w:r w:rsidRPr="0001503C">
              <w:rPr>
                <w:rFonts w:asciiTheme="minorHAnsi" w:eastAsia="Calibri" w:hAnsiTheme="minorHAnsi" w:cstheme="minorHAnsi"/>
                <w:sz w:val="20"/>
                <w:szCs w:val="20"/>
              </w:rPr>
              <w:t>a plan to provide all potentially eligible students with information about how to obtain a closed school discharge and, if applicable, information on State refund policies?</w:t>
            </w:r>
          </w:p>
        </w:tc>
        <w:tc>
          <w:tcPr>
            <w:tcW w:w="456" w:type="pct"/>
          </w:tcPr>
          <w:p w14:paraId="4EAF9C29" w14:textId="77777777"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111546079"/>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0E071D9E" w14:textId="4206B560"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393855851"/>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tr w:rsidR="000F47ED" w:rsidRPr="004506DA" w14:paraId="227C8BB0" w14:textId="77777777" w:rsidTr="0001503C">
        <w:tc>
          <w:tcPr>
            <w:tcW w:w="4544" w:type="pct"/>
          </w:tcPr>
          <w:p w14:paraId="45D4BA57" w14:textId="77777777" w:rsidR="000F47ED" w:rsidRPr="0001503C" w:rsidRDefault="000F47ED" w:rsidP="000F47ED">
            <w:pPr>
              <w:widowControl w:val="0"/>
              <w:numPr>
                <w:ilvl w:val="0"/>
                <w:numId w:val="12"/>
              </w:numPr>
              <w:ind w:left="520" w:hanging="340"/>
              <w:rPr>
                <w:rFonts w:asciiTheme="minorHAnsi" w:eastAsia="Calibri" w:hAnsiTheme="minorHAnsi" w:cstheme="minorHAnsi"/>
                <w:sz w:val="20"/>
                <w:szCs w:val="20"/>
              </w:rPr>
            </w:pPr>
            <w:r w:rsidRPr="0001503C">
              <w:rPr>
                <w:rFonts w:asciiTheme="minorHAnsi" w:eastAsia="Calibri" w:hAnsiTheme="minorHAnsi" w:cstheme="minorHAnsi"/>
                <w:sz w:val="20"/>
                <w:szCs w:val="20"/>
              </w:rPr>
              <w:t>a record retention plan to be provided to all enrolled students that delineates the final disposition of teach-out records (e.g., student transcripts, billing, financial aid records)?</w:t>
            </w:r>
          </w:p>
        </w:tc>
        <w:tc>
          <w:tcPr>
            <w:tcW w:w="456" w:type="pct"/>
          </w:tcPr>
          <w:p w14:paraId="52610A89" w14:textId="77777777"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528863245"/>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70450277" w14:textId="36079F94"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918740181"/>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tr w:rsidR="000F47ED" w:rsidRPr="004506DA" w14:paraId="2AFD5113" w14:textId="77777777" w:rsidTr="0001503C">
        <w:tc>
          <w:tcPr>
            <w:tcW w:w="4544" w:type="pct"/>
          </w:tcPr>
          <w:p w14:paraId="1F07AD8A" w14:textId="77777777" w:rsidR="000F47ED" w:rsidRPr="0001503C" w:rsidRDefault="000F47ED" w:rsidP="000F47ED">
            <w:pPr>
              <w:widowControl w:val="0"/>
              <w:numPr>
                <w:ilvl w:val="0"/>
                <w:numId w:val="12"/>
              </w:numPr>
              <w:ind w:left="520" w:hanging="340"/>
              <w:rPr>
                <w:rFonts w:asciiTheme="minorHAnsi" w:eastAsia="Calibri" w:hAnsiTheme="minorHAnsi" w:cstheme="minorHAnsi"/>
                <w:sz w:val="20"/>
                <w:szCs w:val="20"/>
              </w:rPr>
            </w:pPr>
            <w:r w:rsidRPr="0001503C">
              <w:rPr>
                <w:rFonts w:asciiTheme="minorHAnsi" w:eastAsia="Calibri" w:hAnsiTheme="minorHAnsi" w:cstheme="minorHAnsi"/>
                <w:sz w:val="20"/>
                <w:szCs w:val="20"/>
              </w:rPr>
              <w:t>information on the number and types of credits the teach-out institution is willing to accept prior to the student’s enrollment?</w:t>
            </w:r>
          </w:p>
        </w:tc>
        <w:tc>
          <w:tcPr>
            <w:tcW w:w="456" w:type="pct"/>
          </w:tcPr>
          <w:p w14:paraId="73907010" w14:textId="77777777"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25669147"/>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08868086" w14:textId="0727F81F"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554882603"/>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tr w:rsidR="000F47ED" w:rsidRPr="004506DA" w14:paraId="0EE86C58" w14:textId="77777777" w:rsidTr="0001503C">
        <w:tc>
          <w:tcPr>
            <w:tcW w:w="4544" w:type="pct"/>
          </w:tcPr>
          <w:p w14:paraId="531C08D0" w14:textId="77777777" w:rsidR="000F47ED" w:rsidRPr="0001503C" w:rsidRDefault="000F47ED" w:rsidP="000F47ED">
            <w:pPr>
              <w:widowControl w:val="0"/>
              <w:numPr>
                <w:ilvl w:val="0"/>
                <w:numId w:val="12"/>
              </w:numPr>
              <w:ind w:left="520" w:hanging="340"/>
              <w:rPr>
                <w:rFonts w:asciiTheme="minorHAnsi" w:eastAsia="Calibri" w:hAnsiTheme="minorHAnsi" w:cstheme="minorHAnsi"/>
                <w:sz w:val="20"/>
                <w:szCs w:val="20"/>
              </w:rPr>
            </w:pPr>
            <w:r w:rsidRPr="0001503C">
              <w:rPr>
                <w:rFonts w:asciiTheme="minorHAnsi" w:eastAsia="Calibri" w:hAnsiTheme="minorHAnsi" w:cstheme="minorHAnsi"/>
                <w:sz w:val="20"/>
                <w:szCs w:val="20"/>
              </w:rPr>
              <w:t>a clear statement to students of the tuition and fees of the educational program and the number and types of credits that will be accepted by the teach-out institution?</w:t>
            </w:r>
          </w:p>
        </w:tc>
        <w:tc>
          <w:tcPr>
            <w:tcW w:w="456" w:type="pct"/>
          </w:tcPr>
          <w:p w14:paraId="3B5CF102" w14:textId="77777777"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1536686342"/>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Yes</w:t>
            </w:r>
          </w:p>
          <w:p w14:paraId="6EF02C82" w14:textId="7796B36A" w:rsidR="000F47ED" w:rsidRPr="0001503C" w:rsidRDefault="00076FA1" w:rsidP="000F47ED">
            <w:pPr>
              <w:widowControl w:val="0"/>
              <w:ind w:left="340" w:hanging="340"/>
              <w:rPr>
                <w:rFonts w:asciiTheme="minorHAnsi" w:eastAsia="Calibri" w:hAnsiTheme="minorHAnsi" w:cstheme="minorHAnsi"/>
                <w:sz w:val="20"/>
                <w:szCs w:val="20"/>
              </w:rPr>
            </w:pPr>
            <w:sdt>
              <w:sdtPr>
                <w:rPr>
                  <w:rFonts w:asciiTheme="minorHAnsi" w:eastAsia="MS Gothic" w:hAnsiTheme="minorHAnsi" w:cstheme="minorHAnsi"/>
                  <w:sz w:val="20"/>
                  <w:szCs w:val="20"/>
                </w:rPr>
                <w:id w:val="-848092687"/>
                <w14:checkbox>
                  <w14:checked w14:val="0"/>
                  <w14:checkedState w14:val="2612" w14:font="MS Gothic"/>
                  <w14:uncheckedState w14:val="2610" w14:font="MS Gothic"/>
                </w14:checkbox>
              </w:sdtPr>
              <w:sdtEndPr/>
              <w:sdtContent>
                <w:r w:rsidR="000F47ED" w:rsidRPr="0001503C">
                  <w:rPr>
                    <w:rFonts w:ascii="Segoe UI Symbol" w:eastAsia="MS Gothic" w:hAnsi="Segoe UI Symbol" w:cs="Segoe UI Symbol"/>
                    <w:sz w:val="20"/>
                    <w:szCs w:val="20"/>
                  </w:rPr>
                  <w:t>☐</w:t>
                </w:r>
              </w:sdtContent>
            </w:sdt>
            <w:r w:rsidR="000F47ED" w:rsidRPr="0001503C">
              <w:rPr>
                <w:rFonts w:asciiTheme="minorHAnsi" w:eastAsia="Calibri" w:hAnsiTheme="minorHAnsi" w:cstheme="minorHAnsi"/>
                <w:sz w:val="20"/>
                <w:szCs w:val="20"/>
              </w:rPr>
              <w:tab/>
              <w:t>No</w:t>
            </w:r>
          </w:p>
        </w:tc>
      </w:tr>
      <w:bookmarkEnd w:id="1"/>
      <w:bookmarkEnd w:id="2"/>
    </w:tbl>
    <w:p w14:paraId="1EEC8509" w14:textId="77777777" w:rsidR="00EE49C0" w:rsidRPr="00C370B6" w:rsidRDefault="00EE49C0" w:rsidP="00004207">
      <w:pPr>
        <w:rPr>
          <w:rFonts w:eastAsiaTheme="majorEastAsia" w:cstheme="majorBidi"/>
        </w:rPr>
      </w:pPr>
    </w:p>
    <w:sectPr w:rsidR="00EE49C0" w:rsidRPr="00C370B6" w:rsidSect="00004207">
      <w:headerReference w:type="default" r:id="rId7"/>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F51D" w14:textId="77777777" w:rsidR="00094EA7" w:rsidRDefault="00094EA7" w:rsidP="002C558F">
      <w:r>
        <w:separator/>
      </w:r>
    </w:p>
  </w:endnote>
  <w:endnote w:type="continuationSeparator" w:id="0">
    <w:p w14:paraId="64CA6391" w14:textId="77777777" w:rsidR="00094EA7" w:rsidRDefault="00094EA7" w:rsidP="002C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4B9F" w14:textId="77777777" w:rsidR="00094EA7" w:rsidRDefault="00094EA7" w:rsidP="002C558F">
      <w:r>
        <w:separator/>
      </w:r>
    </w:p>
  </w:footnote>
  <w:footnote w:type="continuationSeparator" w:id="0">
    <w:p w14:paraId="1B6EEF54" w14:textId="77777777" w:rsidR="00094EA7" w:rsidRDefault="00094EA7" w:rsidP="002C558F">
      <w:r>
        <w:continuationSeparator/>
      </w:r>
    </w:p>
  </w:footnote>
  <w:footnote w:id="1">
    <w:p w14:paraId="1AF39C73" w14:textId="1BA25515" w:rsidR="002C558F" w:rsidRPr="002C558F" w:rsidRDefault="002C558F">
      <w:pPr>
        <w:pStyle w:val="FootnoteText"/>
      </w:pPr>
      <w:r>
        <w:rPr>
          <w:rStyle w:val="FootnoteReference"/>
        </w:rPr>
        <w:footnoteRef/>
      </w:r>
      <w:r>
        <w:t xml:space="preserve"> See </w:t>
      </w:r>
      <w:hyperlink r:id="rId1" w:history="1">
        <w:r w:rsidRPr="002C558F">
          <w:rPr>
            <w:rStyle w:val="Hyperlink"/>
            <w:i/>
            <w:iCs/>
          </w:rPr>
          <w:t>Policy on Teach-Out Plans and Agreements</w:t>
        </w:r>
      </w:hyperlink>
      <w:r>
        <w:t xml:space="preserve"> and </w:t>
      </w:r>
      <w:r w:rsidRPr="002C558F">
        <w:t>34 CFR § 602.24 (c)(5)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6FF3" w14:textId="7AFFB7A1" w:rsidR="00004207" w:rsidRDefault="00004207" w:rsidP="00AF30EA">
    <w:pPr>
      <w:tabs>
        <w:tab w:val="left" w:pos="9870"/>
      </w:tabs>
      <w:rPr>
        <w:b/>
        <w:bCs/>
        <w:sz w:val="28"/>
        <w:szCs w:val="28"/>
      </w:rPr>
    </w:pPr>
    <w:r w:rsidRPr="00DE2456">
      <w:rPr>
        <w:b/>
        <w:bCs/>
        <w:sz w:val="28"/>
        <w:szCs w:val="28"/>
      </w:rPr>
      <w:t>Commission Checklist for Review of Teach-Out Agreements</w:t>
    </w:r>
  </w:p>
  <w:p w14:paraId="150E77CD" w14:textId="4D16CAD5" w:rsidR="00004207" w:rsidRPr="00004207" w:rsidRDefault="00004207" w:rsidP="0001503C">
    <w:pPr>
      <w:spacing w:after="160"/>
      <w:rPr>
        <w:b/>
        <w:bCs/>
        <w:i/>
        <w:iCs/>
      </w:rPr>
    </w:pPr>
    <w:r w:rsidRPr="00004207">
      <w:rPr>
        <w:b/>
        <w:bCs/>
        <w:i/>
        <w:iCs/>
        <w:highlight w:val="yellow"/>
      </w:rPr>
      <w:t>Provided to institutions for reference only. Delete from cover sheet prior to submission.</w:t>
    </w:r>
    <w:r w:rsidRPr="00004207">
      <w:rPr>
        <w:b/>
        <w:bCs/>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240"/>
    <w:multiLevelType w:val="hybridMultilevel"/>
    <w:tmpl w:val="B8ECADC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793818"/>
    <w:multiLevelType w:val="hybridMultilevel"/>
    <w:tmpl w:val="724EA32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C71600"/>
    <w:multiLevelType w:val="hybridMultilevel"/>
    <w:tmpl w:val="724EA32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B22C4A"/>
    <w:multiLevelType w:val="hybridMultilevel"/>
    <w:tmpl w:val="B8ECAD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83EE3"/>
    <w:multiLevelType w:val="hybridMultilevel"/>
    <w:tmpl w:val="7902C1CE"/>
    <w:lvl w:ilvl="0" w:tplc="6F7A00A8">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C0FAF"/>
    <w:multiLevelType w:val="hybridMultilevel"/>
    <w:tmpl w:val="3792315E"/>
    <w:lvl w:ilvl="0" w:tplc="4EE8B0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6643F"/>
    <w:multiLevelType w:val="hybridMultilevel"/>
    <w:tmpl w:val="46FA6BA4"/>
    <w:lvl w:ilvl="0" w:tplc="88743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B3986"/>
    <w:multiLevelType w:val="hybridMultilevel"/>
    <w:tmpl w:val="3E0EF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65BC2"/>
    <w:multiLevelType w:val="hybridMultilevel"/>
    <w:tmpl w:val="724EA32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26906BA"/>
    <w:multiLevelType w:val="hybridMultilevel"/>
    <w:tmpl w:val="673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A369F"/>
    <w:multiLevelType w:val="hybridMultilevel"/>
    <w:tmpl w:val="7B4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C6E92"/>
    <w:multiLevelType w:val="hybridMultilevel"/>
    <w:tmpl w:val="539CE13E"/>
    <w:lvl w:ilvl="0" w:tplc="3E18B3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2187345">
    <w:abstractNumId w:val="4"/>
  </w:num>
  <w:num w:numId="2" w16cid:durableId="2096389898">
    <w:abstractNumId w:val="10"/>
  </w:num>
  <w:num w:numId="3" w16cid:durableId="2131699511">
    <w:abstractNumId w:val="9"/>
  </w:num>
  <w:num w:numId="4" w16cid:durableId="1645961880">
    <w:abstractNumId w:val="3"/>
  </w:num>
  <w:num w:numId="5" w16cid:durableId="1621954644">
    <w:abstractNumId w:val="0"/>
  </w:num>
  <w:num w:numId="6" w16cid:durableId="83455309">
    <w:abstractNumId w:val="7"/>
  </w:num>
  <w:num w:numId="7" w16cid:durableId="480538833">
    <w:abstractNumId w:val="6"/>
  </w:num>
  <w:num w:numId="8" w16cid:durableId="1670910799">
    <w:abstractNumId w:val="5"/>
  </w:num>
  <w:num w:numId="9" w16cid:durableId="219291063">
    <w:abstractNumId w:val="8"/>
  </w:num>
  <w:num w:numId="10" w16cid:durableId="147866598">
    <w:abstractNumId w:val="1"/>
  </w:num>
  <w:num w:numId="11" w16cid:durableId="258802038">
    <w:abstractNumId w:val="2"/>
  </w:num>
  <w:num w:numId="12" w16cid:durableId="21239132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82"/>
    <w:rsid w:val="00004207"/>
    <w:rsid w:val="000060CD"/>
    <w:rsid w:val="0001503C"/>
    <w:rsid w:val="00020671"/>
    <w:rsid w:val="00020B19"/>
    <w:rsid w:val="00035006"/>
    <w:rsid w:val="00035BA6"/>
    <w:rsid w:val="000406BD"/>
    <w:rsid w:val="00040D38"/>
    <w:rsid w:val="0005144A"/>
    <w:rsid w:val="00076FA1"/>
    <w:rsid w:val="00080CD6"/>
    <w:rsid w:val="00081D98"/>
    <w:rsid w:val="0009387B"/>
    <w:rsid w:val="00094EA7"/>
    <w:rsid w:val="00095FA9"/>
    <w:rsid w:val="000B077A"/>
    <w:rsid w:val="000C04D9"/>
    <w:rsid w:val="000C1CA5"/>
    <w:rsid w:val="000C7E11"/>
    <w:rsid w:val="000D3336"/>
    <w:rsid w:val="000D6026"/>
    <w:rsid w:val="000D642E"/>
    <w:rsid w:val="000E172D"/>
    <w:rsid w:val="000E1C1D"/>
    <w:rsid w:val="000E4681"/>
    <w:rsid w:val="000E58DB"/>
    <w:rsid w:val="000F47ED"/>
    <w:rsid w:val="00100D99"/>
    <w:rsid w:val="00104FDB"/>
    <w:rsid w:val="001077A3"/>
    <w:rsid w:val="001148D9"/>
    <w:rsid w:val="00135187"/>
    <w:rsid w:val="001449D2"/>
    <w:rsid w:val="00152410"/>
    <w:rsid w:val="00153F8C"/>
    <w:rsid w:val="00177753"/>
    <w:rsid w:val="001A1B39"/>
    <w:rsid w:val="001A32ED"/>
    <w:rsid w:val="001A4BE4"/>
    <w:rsid w:val="001A632A"/>
    <w:rsid w:val="001B22FF"/>
    <w:rsid w:val="001B7D20"/>
    <w:rsid w:val="001C278F"/>
    <w:rsid w:val="001E5C0A"/>
    <w:rsid w:val="001F2DDE"/>
    <w:rsid w:val="001F3A69"/>
    <w:rsid w:val="00202B92"/>
    <w:rsid w:val="00205FD0"/>
    <w:rsid w:val="00210CDB"/>
    <w:rsid w:val="002227EF"/>
    <w:rsid w:val="00236850"/>
    <w:rsid w:val="00237425"/>
    <w:rsid w:val="0023748A"/>
    <w:rsid w:val="00246326"/>
    <w:rsid w:val="00251C2C"/>
    <w:rsid w:val="0027333C"/>
    <w:rsid w:val="00280578"/>
    <w:rsid w:val="00286F41"/>
    <w:rsid w:val="00291A66"/>
    <w:rsid w:val="002A1AD4"/>
    <w:rsid w:val="002B0A52"/>
    <w:rsid w:val="002B0B38"/>
    <w:rsid w:val="002B53AF"/>
    <w:rsid w:val="002B684D"/>
    <w:rsid w:val="002B6DA3"/>
    <w:rsid w:val="002B7D95"/>
    <w:rsid w:val="002C558F"/>
    <w:rsid w:val="002D2BDD"/>
    <w:rsid w:val="002E0F25"/>
    <w:rsid w:val="002E22AD"/>
    <w:rsid w:val="002E5D00"/>
    <w:rsid w:val="002F0415"/>
    <w:rsid w:val="002F5459"/>
    <w:rsid w:val="003015CC"/>
    <w:rsid w:val="00304697"/>
    <w:rsid w:val="00311BC1"/>
    <w:rsid w:val="00314FBA"/>
    <w:rsid w:val="00342E97"/>
    <w:rsid w:val="0035289E"/>
    <w:rsid w:val="0036033B"/>
    <w:rsid w:val="00364EDD"/>
    <w:rsid w:val="00367DC1"/>
    <w:rsid w:val="003706B5"/>
    <w:rsid w:val="00374B70"/>
    <w:rsid w:val="00383B54"/>
    <w:rsid w:val="00386977"/>
    <w:rsid w:val="00391F64"/>
    <w:rsid w:val="003A10ED"/>
    <w:rsid w:val="003A3160"/>
    <w:rsid w:val="003B40E2"/>
    <w:rsid w:val="003C0256"/>
    <w:rsid w:val="003C419E"/>
    <w:rsid w:val="003C4E51"/>
    <w:rsid w:val="003C79DF"/>
    <w:rsid w:val="003F2711"/>
    <w:rsid w:val="0040092E"/>
    <w:rsid w:val="00405823"/>
    <w:rsid w:val="004235C0"/>
    <w:rsid w:val="004257B5"/>
    <w:rsid w:val="00425BF0"/>
    <w:rsid w:val="00425F18"/>
    <w:rsid w:val="0043057C"/>
    <w:rsid w:val="00444E8E"/>
    <w:rsid w:val="00454808"/>
    <w:rsid w:val="0046735D"/>
    <w:rsid w:val="004742F1"/>
    <w:rsid w:val="0047598A"/>
    <w:rsid w:val="0048214B"/>
    <w:rsid w:val="00487D54"/>
    <w:rsid w:val="004905D8"/>
    <w:rsid w:val="004905DB"/>
    <w:rsid w:val="00492565"/>
    <w:rsid w:val="004932D0"/>
    <w:rsid w:val="004A42D0"/>
    <w:rsid w:val="004A7C82"/>
    <w:rsid w:val="004B43BE"/>
    <w:rsid w:val="004E09E4"/>
    <w:rsid w:val="004E48B0"/>
    <w:rsid w:val="004F2660"/>
    <w:rsid w:val="004F32D7"/>
    <w:rsid w:val="004F3679"/>
    <w:rsid w:val="005061A3"/>
    <w:rsid w:val="00506EA6"/>
    <w:rsid w:val="005119A0"/>
    <w:rsid w:val="00526761"/>
    <w:rsid w:val="005319AB"/>
    <w:rsid w:val="00532D4D"/>
    <w:rsid w:val="00543A91"/>
    <w:rsid w:val="00543B28"/>
    <w:rsid w:val="00552FFD"/>
    <w:rsid w:val="005634F7"/>
    <w:rsid w:val="00564DC7"/>
    <w:rsid w:val="00566FC0"/>
    <w:rsid w:val="00571EBA"/>
    <w:rsid w:val="00572540"/>
    <w:rsid w:val="00572EE3"/>
    <w:rsid w:val="0057588E"/>
    <w:rsid w:val="0058199B"/>
    <w:rsid w:val="00587CEA"/>
    <w:rsid w:val="005B4AF6"/>
    <w:rsid w:val="005D1B01"/>
    <w:rsid w:val="00600762"/>
    <w:rsid w:val="006126DE"/>
    <w:rsid w:val="0062635D"/>
    <w:rsid w:val="00627FB3"/>
    <w:rsid w:val="00631A23"/>
    <w:rsid w:val="006466DC"/>
    <w:rsid w:val="00647ED8"/>
    <w:rsid w:val="00660332"/>
    <w:rsid w:val="0066329C"/>
    <w:rsid w:val="00666040"/>
    <w:rsid w:val="0067411E"/>
    <w:rsid w:val="006809DC"/>
    <w:rsid w:val="00681EB4"/>
    <w:rsid w:val="00684677"/>
    <w:rsid w:val="00685C89"/>
    <w:rsid w:val="00686E00"/>
    <w:rsid w:val="006B487F"/>
    <w:rsid w:val="006C2D57"/>
    <w:rsid w:val="006C3350"/>
    <w:rsid w:val="006D0B0A"/>
    <w:rsid w:val="006F0690"/>
    <w:rsid w:val="006F30FC"/>
    <w:rsid w:val="006F42DE"/>
    <w:rsid w:val="006F7B87"/>
    <w:rsid w:val="00704A63"/>
    <w:rsid w:val="00707D48"/>
    <w:rsid w:val="007428A4"/>
    <w:rsid w:val="007610EE"/>
    <w:rsid w:val="00761D15"/>
    <w:rsid w:val="0076352C"/>
    <w:rsid w:val="007653E8"/>
    <w:rsid w:val="00765756"/>
    <w:rsid w:val="0077372F"/>
    <w:rsid w:val="00774674"/>
    <w:rsid w:val="0078005C"/>
    <w:rsid w:val="00794695"/>
    <w:rsid w:val="007A1FB0"/>
    <w:rsid w:val="007A604A"/>
    <w:rsid w:val="007B632D"/>
    <w:rsid w:val="007C57D8"/>
    <w:rsid w:val="007D776E"/>
    <w:rsid w:val="007F2F1F"/>
    <w:rsid w:val="007F5B81"/>
    <w:rsid w:val="0080113B"/>
    <w:rsid w:val="0080510C"/>
    <w:rsid w:val="00805B6D"/>
    <w:rsid w:val="00806FD7"/>
    <w:rsid w:val="00824525"/>
    <w:rsid w:val="00824E24"/>
    <w:rsid w:val="008319E6"/>
    <w:rsid w:val="0083277F"/>
    <w:rsid w:val="00836255"/>
    <w:rsid w:val="00852D55"/>
    <w:rsid w:val="00861E6D"/>
    <w:rsid w:val="008675D9"/>
    <w:rsid w:val="00885598"/>
    <w:rsid w:val="0089732C"/>
    <w:rsid w:val="008A12CB"/>
    <w:rsid w:val="008A41EF"/>
    <w:rsid w:val="008B4213"/>
    <w:rsid w:val="008D1043"/>
    <w:rsid w:val="008E6E61"/>
    <w:rsid w:val="008E77A4"/>
    <w:rsid w:val="008F77BC"/>
    <w:rsid w:val="009047BF"/>
    <w:rsid w:val="009106D9"/>
    <w:rsid w:val="009108A8"/>
    <w:rsid w:val="009147E5"/>
    <w:rsid w:val="00916CF3"/>
    <w:rsid w:val="009433EC"/>
    <w:rsid w:val="00952F67"/>
    <w:rsid w:val="0096060B"/>
    <w:rsid w:val="00963EFB"/>
    <w:rsid w:val="009659D0"/>
    <w:rsid w:val="00991B73"/>
    <w:rsid w:val="00993CFE"/>
    <w:rsid w:val="009B4690"/>
    <w:rsid w:val="009C4A65"/>
    <w:rsid w:val="009C4B3E"/>
    <w:rsid w:val="009E4AAC"/>
    <w:rsid w:val="009F67AE"/>
    <w:rsid w:val="00A047FA"/>
    <w:rsid w:val="00A0485F"/>
    <w:rsid w:val="00A22B7E"/>
    <w:rsid w:val="00A37BC3"/>
    <w:rsid w:val="00A51272"/>
    <w:rsid w:val="00A517E3"/>
    <w:rsid w:val="00A56FAB"/>
    <w:rsid w:val="00A629C6"/>
    <w:rsid w:val="00A71294"/>
    <w:rsid w:val="00A86D88"/>
    <w:rsid w:val="00A95E83"/>
    <w:rsid w:val="00AB1FB7"/>
    <w:rsid w:val="00AC79E8"/>
    <w:rsid w:val="00AD0CB3"/>
    <w:rsid w:val="00AE1BD8"/>
    <w:rsid w:val="00AE263D"/>
    <w:rsid w:val="00AF2C2E"/>
    <w:rsid w:val="00AF30EA"/>
    <w:rsid w:val="00B101D8"/>
    <w:rsid w:val="00B249CA"/>
    <w:rsid w:val="00B254A9"/>
    <w:rsid w:val="00B27304"/>
    <w:rsid w:val="00B331F6"/>
    <w:rsid w:val="00B36972"/>
    <w:rsid w:val="00B36A3D"/>
    <w:rsid w:val="00B473AC"/>
    <w:rsid w:val="00B63072"/>
    <w:rsid w:val="00B902BE"/>
    <w:rsid w:val="00BB2208"/>
    <w:rsid w:val="00BB418A"/>
    <w:rsid w:val="00BB50EE"/>
    <w:rsid w:val="00BB6367"/>
    <w:rsid w:val="00BC20E8"/>
    <w:rsid w:val="00BE3DAF"/>
    <w:rsid w:val="00BF5638"/>
    <w:rsid w:val="00C20789"/>
    <w:rsid w:val="00C24D4C"/>
    <w:rsid w:val="00C30751"/>
    <w:rsid w:val="00C370B6"/>
    <w:rsid w:val="00C67682"/>
    <w:rsid w:val="00C81819"/>
    <w:rsid w:val="00C83036"/>
    <w:rsid w:val="00C843F2"/>
    <w:rsid w:val="00CA1C29"/>
    <w:rsid w:val="00CA570D"/>
    <w:rsid w:val="00CC4C21"/>
    <w:rsid w:val="00CD3ADD"/>
    <w:rsid w:val="00CD5D03"/>
    <w:rsid w:val="00CD6475"/>
    <w:rsid w:val="00CE06CF"/>
    <w:rsid w:val="00CE6B7D"/>
    <w:rsid w:val="00CF4326"/>
    <w:rsid w:val="00CF46FC"/>
    <w:rsid w:val="00CF483E"/>
    <w:rsid w:val="00D11403"/>
    <w:rsid w:val="00D14469"/>
    <w:rsid w:val="00D23E9C"/>
    <w:rsid w:val="00D255C6"/>
    <w:rsid w:val="00D346AE"/>
    <w:rsid w:val="00D374A9"/>
    <w:rsid w:val="00D3757C"/>
    <w:rsid w:val="00D43BEA"/>
    <w:rsid w:val="00D5201F"/>
    <w:rsid w:val="00D528BB"/>
    <w:rsid w:val="00D564A8"/>
    <w:rsid w:val="00D6143A"/>
    <w:rsid w:val="00D64C67"/>
    <w:rsid w:val="00D64C83"/>
    <w:rsid w:val="00D668C7"/>
    <w:rsid w:val="00D77F5C"/>
    <w:rsid w:val="00D82377"/>
    <w:rsid w:val="00DB4F9B"/>
    <w:rsid w:val="00DB67E3"/>
    <w:rsid w:val="00DC05CA"/>
    <w:rsid w:val="00DC5457"/>
    <w:rsid w:val="00DD2695"/>
    <w:rsid w:val="00DE2456"/>
    <w:rsid w:val="00E0009E"/>
    <w:rsid w:val="00E65D69"/>
    <w:rsid w:val="00E86882"/>
    <w:rsid w:val="00E86F19"/>
    <w:rsid w:val="00E9075F"/>
    <w:rsid w:val="00E93878"/>
    <w:rsid w:val="00EA32F5"/>
    <w:rsid w:val="00EA34F3"/>
    <w:rsid w:val="00EB0A76"/>
    <w:rsid w:val="00EC24AF"/>
    <w:rsid w:val="00EC5434"/>
    <w:rsid w:val="00EE49C0"/>
    <w:rsid w:val="00EF6720"/>
    <w:rsid w:val="00F05972"/>
    <w:rsid w:val="00F234AC"/>
    <w:rsid w:val="00F246DE"/>
    <w:rsid w:val="00F275E8"/>
    <w:rsid w:val="00F37D6E"/>
    <w:rsid w:val="00F412A2"/>
    <w:rsid w:val="00F6641D"/>
    <w:rsid w:val="00F9199D"/>
    <w:rsid w:val="00F9237D"/>
    <w:rsid w:val="00FA5219"/>
    <w:rsid w:val="00FB3FA2"/>
    <w:rsid w:val="00FB440B"/>
    <w:rsid w:val="00FB74A8"/>
    <w:rsid w:val="00FE354B"/>
    <w:rsid w:val="00FE3AE3"/>
    <w:rsid w:val="00FE7F52"/>
    <w:rsid w:val="00FF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AEEEE3"/>
  <w15:docId w15:val="{FE27AF09-969F-479D-8191-868B610F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82"/>
    <w:pPr>
      <w:spacing w:after="0" w:line="240" w:lineRule="auto"/>
    </w:pPr>
    <w:rPr>
      <w:rFonts w:ascii="Calibri" w:hAnsi="Calibri"/>
      <w:kern w:val="0"/>
    </w:rPr>
  </w:style>
  <w:style w:type="paragraph" w:styleId="Heading1">
    <w:name w:val="heading 1"/>
    <w:basedOn w:val="Normal"/>
    <w:next w:val="Normal"/>
    <w:link w:val="Heading1Char"/>
    <w:uiPriority w:val="9"/>
    <w:qFormat/>
    <w:rsid w:val="004A7C82"/>
    <w:pPr>
      <w:keepNext/>
      <w:keepLines/>
      <w:numPr>
        <w:numId w:val="1"/>
      </w:numPr>
      <w:ind w:left="36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A7C82"/>
    <w:pPr>
      <w:keepNext/>
      <w:keepLines/>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C82"/>
    <w:rPr>
      <w:rFonts w:ascii="Calibri" w:eastAsiaTheme="majorEastAsia" w:hAnsi="Calibri" w:cstheme="majorBidi"/>
      <w:b/>
      <w:bCs/>
      <w:kern w:val="0"/>
      <w:sz w:val="28"/>
      <w:szCs w:val="28"/>
    </w:rPr>
  </w:style>
  <w:style w:type="character" w:customStyle="1" w:styleId="Heading2Char">
    <w:name w:val="Heading 2 Char"/>
    <w:basedOn w:val="DefaultParagraphFont"/>
    <w:link w:val="Heading2"/>
    <w:uiPriority w:val="9"/>
    <w:rsid w:val="004A7C82"/>
    <w:rPr>
      <w:rFonts w:ascii="Calibri" w:eastAsiaTheme="majorEastAsia" w:hAnsi="Calibri" w:cstheme="majorBidi"/>
      <w:b/>
      <w:bCs/>
      <w:kern w:val="0"/>
      <w:sz w:val="26"/>
      <w:szCs w:val="26"/>
    </w:rPr>
  </w:style>
  <w:style w:type="character" w:styleId="Hyperlink">
    <w:name w:val="Hyperlink"/>
    <w:basedOn w:val="DefaultParagraphFont"/>
    <w:uiPriority w:val="99"/>
    <w:unhideWhenUsed/>
    <w:rsid w:val="004A7C82"/>
    <w:rPr>
      <w:color w:val="0563C1" w:themeColor="hyperlink"/>
      <w:u w:val="single"/>
    </w:rPr>
  </w:style>
  <w:style w:type="paragraph" w:styleId="ListParagraph">
    <w:name w:val="List Paragraph"/>
    <w:basedOn w:val="Normal"/>
    <w:uiPriority w:val="34"/>
    <w:qFormat/>
    <w:rsid w:val="004A7C82"/>
    <w:pPr>
      <w:widowControl w:val="0"/>
    </w:pPr>
  </w:style>
  <w:style w:type="table" w:styleId="TableGrid">
    <w:name w:val="Table Grid"/>
    <w:basedOn w:val="TableNormal"/>
    <w:uiPriority w:val="59"/>
    <w:rsid w:val="004A7C82"/>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A7C82"/>
    <w:pPr>
      <w:numPr>
        <w:numId w:val="0"/>
      </w:numPr>
      <w:spacing w:before="240" w:line="259" w:lineRule="auto"/>
      <w:outlineLvl w:val="9"/>
    </w:pPr>
    <w:rPr>
      <w:rFonts w:asciiTheme="minorHAnsi" w:hAnsiTheme="minorHAnsi"/>
      <w:bCs w:val="0"/>
      <w:sz w:val="32"/>
      <w:szCs w:val="32"/>
    </w:rPr>
  </w:style>
  <w:style w:type="paragraph" w:styleId="TOC1">
    <w:name w:val="toc 1"/>
    <w:basedOn w:val="Normal"/>
    <w:next w:val="Normal"/>
    <w:autoRedefine/>
    <w:uiPriority w:val="39"/>
    <w:unhideWhenUsed/>
    <w:rsid w:val="004A7C82"/>
    <w:pPr>
      <w:spacing w:after="100"/>
    </w:pPr>
  </w:style>
  <w:style w:type="character" w:styleId="CommentReference">
    <w:name w:val="annotation reference"/>
    <w:basedOn w:val="DefaultParagraphFont"/>
    <w:uiPriority w:val="99"/>
    <w:semiHidden/>
    <w:unhideWhenUsed/>
    <w:rsid w:val="0036033B"/>
    <w:rPr>
      <w:sz w:val="16"/>
      <w:szCs w:val="16"/>
    </w:rPr>
  </w:style>
  <w:style w:type="paragraph" w:styleId="CommentText">
    <w:name w:val="annotation text"/>
    <w:basedOn w:val="Normal"/>
    <w:link w:val="CommentTextChar"/>
    <w:uiPriority w:val="99"/>
    <w:semiHidden/>
    <w:unhideWhenUsed/>
    <w:rsid w:val="0036033B"/>
    <w:rPr>
      <w:sz w:val="20"/>
      <w:szCs w:val="20"/>
    </w:rPr>
  </w:style>
  <w:style w:type="character" w:customStyle="1" w:styleId="CommentTextChar">
    <w:name w:val="Comment Text Char"/>
    <w:basedOn w:val="DefaultParagraphFont"/>
    <w:link w:val="CommentText"/>
    <w:uiPriority w:val="99"/>
    <w:semiHidden/>
    <w:rsid w:val="0036033B"/>
    <w:rPr>
      <w:rFonts w:ascii="Calibri" w:hAnsi="Calibri"/>
      <w:kern w:val="0"/>
      <w:sz w:val="20"/>
      <w:szCs w:val="20"/>
    </w:rPr>
  </w:style>
  <w:style w:type="paragraph" w:styleId="CommentSubject">
    <w:name w:val="annotation subject"/>
    <w:basedOn w:val="CommentText"/>
    <w:next w:val="CommentText"/>
    <w:link w:val="CommentSubjectChar"/>
    <w:uiPriority w:val="99"/>
    <w:semiHidden/>
    <w:unhideWhenUsed/>
    <w:rsid w:val="0036033B"/>
    <w:rPr>
      <w:b/>
      <w:bCs/>
    </w:rPr>
  </w:style>
  <w:style w:type="character" w:customStyle="1" w:styleId="CommentSubjectChar">
    <w:name w:val="Comment Subject Char"/>
    <w:basedOn w:val="CommentTextChar"/>
    <w:link w:val="CommentSubject"/>
    <w:uiPriority w:val="99"/>
    <w:semiHidden/>
    <w:rsid w:val="0036033B"/>
    <w:rPr>
      <w:rFonts w:ascii="Calibri" w:hAnsi="Calibri"/>
      <w:b/>
      <w:bCs/>
      <w:kern w:val="0"/>
      <w:sz w:val="20"/>
      <w:szCs w:val="20"/>
    </w:rPr>
  </w:style>
  <w:style w:type="character" w:customStyle="1" w:styleId="UnresolvedMention1">
    <w:name w:val="Unresolved Mention1"/>
    <w:basedOn w:val="DefaultParagraphFont"/>
    <w:uiPriority w:val="99"/>
    <w:semiHidden/>
    <w:unhideWhenUsed/>
    <w:rsid w:val="00B331F6"/>
    <w:rPr>
      <w:color w:val="605E5C"/>
      <w:shd w:val="clear" w:color="auto" w:fill="E1DFDD"/>
    </w:rPr>
  </w:style>
  <w:style w:type="paragraph" w:styleId="TOC2">
    <w:name w:val="toc 2"/>
    <w:basedOn w:val="Normal"/>
    <w:next w:val="Normal"/>
    <w:autoRedefine/>
    <w:uiPriority w:val="39"/>
    <w:unhideWhenUsed/>
    <w:rsid w:val="008E6E61"/>
    <w:pPr>
      <w:spacing w:after="100"/>
      <w:ind w:left="220"/>
    </w:pPr>
  </w:style>
  <w:style w:type="paragraph" w:styleId="FootnoteText">
    <w:name w:val="footnote text"/>
    <w:basedOn w:val="Normal"/>
    <w:link w:val="FootnoteTextChar"/>
    <w:uiPriority w:val="99"/>
    <w:semiHidden/>
    <w:unhideWhenUsed/>
    <w:rsid w:val="002C558F"/>
    <w:rPr>
      <w:sz w:val="20"/>
      <w:szCs w:val="20"/>
    </w:rPr>
  </w:style>
  <w:style w:type="character" w:customStyle="1" w:styleId="FootnoteTextChar">
    <w:name w:val="Footnote Text Char"/>
    <w:basedOn w:val="DefaultParagraphFont"/>
    <w:link w:val="FootnoteText"/>
    <w:uiPriority w:val="99"/>
    <w:semiHidden/>
    <w:rsid w:val="002C558F"/>
    <w:rPr>
      <w:rFonts w:ascii="Calibri" w:hAnsi="Calibri"/>
      <w:kern w:val="0"/>
      <w:sz w:val="20"/>
      <w:szCs w:val="20"/>
    </w:rPr>
  </w:style>
  <w:style w:type="character" w:styleId="FootnoteReference">
    <w:name w:val="footnote reference"/>
    <w:basedOn w:val="DefaultParagraphFont"/>
    <w:uiPriority w:val="99"/>
    <w:semiHidden/>
    <w:unhideWhenUsed/>
    <w:rsid w:val="002C558F"/>
    <w:rPr>
      <w:vertAlign w:val="superscript"/>
    </w:rPr>
  </w:style>
  <w:style w:type="paragraph" w:styleId="Header">
    <w:name w:val="header"/>
    <w:basedOn w:val="Normal"/>
    <w:link w:val="HeaderChar"/>
    <w:uiPriority w:val="99"/>
    <w:unhideWhenUsed/>
    <w:rsid w:val="00004207"/>
    <w:pPr>
      <w:tabs>
        <w:tab w:val="center" w:pos="4680"/>
        <w:tab w:val="right" w:pos="9360"/>
      </w:tabs>
    </w:pPr>
  </w:style>
  <w:style w:type="character" w:customStyle="1" w:styleId="HeaderChar">
    <w:name w:val="Header Char"/>
    <w:basedOn w:val="DefaultParagraphFont"/>
    <w:link w:val="Header"/>
    <w:uiPriority w:val="99"/>
    <w:rsid w:val="00004207"/>
    <w:rPr>
      <w:rFonts w:ascii="Calibri" w:hAnsi="Calibri"/>
      <w:kern w:val="0"/>
    </w:rPr>
  </w:style>
  <w:style w:type="paragraph" w:styleId="Footer">
    <w:name w:val="footer"/>
    <w:basedOn w:val="Normal"/>
    <w:link w:val="FooterChar"/>
    <w:uiPriority w:val="99"/>
    <w:unhideWhenUsed/>
    <w:rsid w:val="00004207"/>
    <w:pPr>
      <w:tabs>
        <w:tab w:val="center" w:pos="4680"/>
        <w:tab w:val="right" w:pos="9360"/>
      </w:tabs>
    </w:pPr>
  </w:style>
  <w:style w:type="character" w:customStyle="1" w:styleId="FooterChar">
    <w:name w:val="Footer Char"/>
    <w:basedOn w:val="DefaultParagraphFont"/>
    <w:link w:val="Footer"/>
    <w:uiPriority w:val="99"/>
    <w:rsid w:val="00004207"/>
    <w:rPr>
      <w:rFonts w:ascii="Calibri" w:hAnsi="Calibri"/>
      <w:kern w:val="0"/>
    </w:rPr>
  </w:style>
  <w:style w:type="table" w:customStyle="1" w:styleId="TableGrid2">
    <w:name w:val="Table Grid2"/>
    <w:basedOn w:val="TableNormal"/>
    <w:next w:val="TableGrid"/>
    <w:uiPriority w:val="59"/>
    <w:rsid w:val="00004207"/>
    <w:pPr>
      <w:spacing w:after="0" w:line="240" w:lineRule="auto"/>
    </w:pPr>
    <w:rPr>
      <w:rFonts w:ascii="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5F18"/>
    <w:pPr>
      <w:spacing w:after="0" w:line="240" w:lineRule="auto"/>
    </w:pPr>
    <w:rPr>
      <w:rFonts w:ascii="Calibri" w:hAnsi="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ccjc.org/wp-content/uploads/Policy-on-Teach-Out-Plans-and-Agre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1310</Words>
  <Characters>7379</Characters>
  <Application>Microsoft Office Word</Application>
  <DocSecurity>0</DocSecurity>
  <Lines>245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Alexandra Spring</cp:lastModifiedBy>
  <cp:revision>7</cp:revision>
  <dcterms:created xsi:type="dcterms:W3CDTF">2024-02-05T23:18:00Z</dcterms:created>
  <dcterms:modified xsi:type="dcterms:W3CDTF">2024-02-09T23:26:00Z</dcterms:modified>
</cp:coreProperties>
</file>